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5BE5" w14:textId="77777777" w:rsidR="00BB7229" w:rsidRDefault="00BB7229" w:rsidP="00FA7BD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</w:p>
    <w:p w14:paraId="24D9487E" w14:textId="77777777" w:rsidR="000C3796" w:rsidRPr="002A5186" w:rsidRDefault="000C3796" w:rsidP="00FA7BD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A5186">
        <w:rPr>
          <w:rFonts w:cs="Arial"/>
          <w:b/>
          <w:sz w:val="28"/>
          <w:szCs w:val="28"/>
        </w:rPr>
        <w:t xml:space="preserve">Summary of the Proposed </w:t>
      </w:r>
      <w:r w:rsidR="00017916" w:rsidRPr="002A5186">
        <w:rPr>
          <w:rFonts w:cs="Arial"/>
          <w:b/>
          <w:i/>
          <w:sz w:val="28"/>
          <w:szCs w:val="28"/>
        </w:rPr>
        <w:t>Pro Bono</w:t>
      </w:r>
      <w:r w:rsidR="00017916" w:rsidRPr="002A5186">
        <w:rPr>
          <w:rFonts w:cs="Arial"/>
          <w:b/>
          <w:sz w:val="28"/>
          <w:szCs w:val="28"/>
        </w:rPr>
        <w:t xml:space="preserve"> Plan and </w:t>
      </w:r>
      <w:r w:rsidRPr="002A5186">
        <w:rPr>
          <w:rFonts w:cs="Arial"/>
          <w:b/>
          <w:sz w:val="28"/>
          <w:szCs w:val="28"/>
        </w:rPr>
        <w:t xml:space="preserve">Amendments to the Local Rules of Civil </w:t>
      </w:r>
      <w:r w:rsidR="0031517D" w:rsidRPr="002A5186">
        <w:rPr>
          <w:rFonts w:cs="Arial"/>
          <w:b/>
          <w:sz w:val="28"/>
          <w:szCs w:val="28"/>
        </w:rPr>
        <w:t xml:space="preserve">and Criminal </w:t>
      </w:r>
      <w:r w:rsidRPr="002A5186">
        <w:rPr>
          <w:rFonts w:cs="Arial"/>
          <w:b/>
          <w:sz w:val="28"/>
          <w:szCs w:val="28"/>
        </w:rPr>
        <w:t>Procedure of the Western District of New York to be Effective January 1, 20</w:t>
      </w:r>
      <w:r w:rsidR="0031517D" w:rsidRPr="002A5186">
        <w:rPr>
          <w:rFonts w:cs="Arial"/>
          <w:b/>
          <w:sz w:val="28"/>
          <w:szCs w:val="28"/>
        </w:rPr>
        <w:t>20</w:t>
      </w:r>
    </w:p>
    <w:p w14:paraId="3EBEDD9E" w14:textId="77777777" w:rsidR="000C3796" w:rsidRDefault="000C3796" w:rsidP="000C3796">
      <w:pPr>
        <w:spacing w:after="0" w:line="240" w:lineRule="auto"/>
        <w:jc w:val="both"/>
        <w:rPr>
          <w:rFonts w:cs="Arial"/>
          <w:szCs w:val="24"/>
        </w:rPr>
      </w:pPr>
    </w:p>
    <w:p w14:paraId="3B48DA0E" w14:textId="77777777" w:rsidR="008B7ED8" w:rsidRDefault="008B7ED8" w:rsidP="002A198A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The Western District of New York’s Local Rules Committee, which is chaired by the Hon. Jeremiah J. McCarthy</w:t>
      </w:r>
      <w:r w:rsidR="00B74F53">
        <w:rPr>
          <w:rFonts w:cs="Arial"/>
          <w:szCs w:val="24"/>
        </w:rPr>
        <w:t xml:space="preserve"> and comprised of </w:t>
      </w:r>
      <w:r w:rsidR="00B713F8">
        <w:rPr>
          <w:rFonts w:cs="Arial"/>
          <w:szCs w:val="24"/>
        </w:rPr>
        <w:t>C</w:t>
      </w:r>
      <w:r w:rsidR="00B74F53">
        <w:rPr>
          <w:rFonts w:cs="Arial"/>
          <w:szCs w:val="24"/>
        </w:rPr>
        <w:t xml:space="preserve">ourt personnel and members of the bar of this Court, convenes </w:t>
      </w:r>
      <w:r w:rsidRPr="009954C1">
        <w:rPr>
          <w:rFonts w:cs="Arial"/>
          <w:szCs w:val="24"/>
        </w:rPr>
        <w:t>on an annual basis to</w:t>
      </w:r>
      <w:r w:rsidR="00121377">
        <w:rPr>
          <w:rFonts w:cs="Arial"/>
          <w:szCs w:val="24"/>
        </w:rPr>
        <w:t xml:space="preserve"> ensure that the </w:t>
      </w:r>
      <w:r w:rsidRPr="009954C1">
        <w:rPr>
          <w:rFonts w:cs="Arial"/>
          <w:szCs w:val="24"/>
        </w:rPr>
        <w:t>Local Rules</w:t>
      </w:r>
      <w:r w:rsidR="00121377">
        <w:rPr>
          <w:rFonts w:cs="Arial"/>
          <w:szCs w:val="24"/>
        </w:rPr>
        <w:t xml:space="preserve"> conform</w:t>
      </w:r>
      <w:r w:rsidRPr="009954C1">
        <w:rPr>
          <w:rFonts w:cs="Arial"/>
          <w:szCs w:val="24"/>
        </w:rPr>
        <w:t xml:space="preserve"> to the Federal Rules amendments and current practices of this Court, as well as to address any Local Rule concerns raised by our bar.  </w:t>
      </w:r>
      <w:r w:rsidR="0007213B">
        <w:rPr>
          <w:rFonts w:cs="Arial"/>
          <w:szCs w:val="24"/>
        </w:rPr>
        <w:t xml:space="preserve">The committee proposes </w:t>
      </w:r>
      <w:r w:rsidR="00121377">
        <w:rPr>
          <w:rFonts w:cs="Arial"/>
          <w:szCs w:val="24"/>
        </w:rPr>
        <w:t xml:space="preserve">amendments to the Court for consideration. </w:t>
      </w:r>
    </w:p>
    <w:p w14:paraId="74E214E3" w14:textId="77777777" w:rsidR="00A60A9F" w:rsidRDefault="008B7ED8" w:rsidP="002A198A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8B7ED8">
        <w:rPr>
          <w:rFonts w:cs="Arial"/>
          <w:szCs w:val="24"/>
        </w:rPr>
        <w:t>A</w:t>
      </w:r>
      <w:r w:rsidR="00A60A9F">
        <w:rPr>
          <w:rFonts w:cs="Arial"/>
          <w:szCs w:val="24"/>
        </w:rPr>
        <w:t xml:space="preserve">t the </w:t>
      </w:r>
      <w:r w:rsidR="00B876CB">
        <w:rPr>
          <w:rFonts w:cs="Arial"/>
          <w:szCs w:val="24"/>
        </w:rPr>
        <w:t>C</w:t>
      </w:r>
      <w:r w:rsidR="00A60A9F">
        <w:rPr>
          <w:rFonts w:cs="Arial"/>
          <w:szCs w:val="24"/>
        </w:rPr>
        <w:t>ourt’s request, a</w:t>
      </w:r>
      <w:r w:rsidRPr="008B7ED8">
        <w:rPr>
          <w:rFonts w:cs="Arial"/>
          <w:szCs w:val="24"/>
        </w:rPr>
        <w:t xml:space="preserve"> central focus of the committee’s efforts this year </w:t>
      </w:r>
      <w:r w:rsidR="00A60A9F">
        <w:rPr>
          <w:rFonts w:cs="Arial"/>
          <w:szCs w:val="24"/>
        </w:rPr>
        <w:t>has been</w:t>
      </w:r>
      <w:r w:rsidRPr="008B7ED8">
        <w:rPr>
          <w:rFonts w:cs="Arial"/>
          <w:szCs w:val="24"/>
        </w:rPr>
        <w:t xml:space="preserve"> </w:t>
      </w:r>
      <w:r w:rsidR="00A60A9F">
        <w:rPr>
          <w:rFonts w:cs="Arial"/>
          <w:szCs w:val="24"/>
        </w:rPr>
        <w:t xml:space="preserve">the development of a proposal to </w:t>
      </w:r>
      <w:r w:rsidRPr="008B7ED8">
        <w:rPr>
          <w:rFonts w:cs="Arial"/>
          <w:szCs w:val="24"/>
        </w:rPr>
        <w:t xml:space="preserve">reinvigorate the </w:t>
      </w:r>
      <w:r w:rsidR="00B713F8">
        <w:rPr>
          <w:rFonts w:cs="Arial"/>
          <w:szCs w:val="24"/>
        </w:rPr>
        <w:t>C</w:t>
      </w:r>
      <w:r w:rsidRPr="008B7ED8">
        <w:rPr>
          <w:rFonts w:cs="Arial"/>
          <w:szCs w:val="24"/>
        </w:rPr>
        <w:t xml:space="preserve">ourt’s </w:t>
      </w:r>
      <w:r w:rsidRPr="00121377">
        <w:rPr>
          <w:rFonts w:cs="Arial"/>
          <w:i/>
          <w:szCs w:val="24"/>
        </w:rPr>
        <w:t>pro bono</w:t>
      </w:r>
      <w:r w:rsidRPr="008B7ED8">
        <w:rPr>
          <w:rFonts w:cs="Arial"/>
          <w:szCs w:val="24"/>
        </w:rPr>
        <w:t xml:space="preserve"> </w:t>
      </w:r>
      <w:r w:rsidR="00A60A9F">
        <w:rPr>
          <w:rFonts w:cs="Arial"/>
          <w:szCs w:val="24"/>
        </w:rPr>
        <w:t xml:space="preserve">efforts. </w:t>
      </w:r>
      <w:r w:rsidR="0052057D">
        <w:rPr>
          <w:rFonts w:cs="Arial"/>
          <w:szCs w:val="24"/>
        </w:rPr>
        <w:t xml:space="preserve">Our bar </w:t>
      </w:r>
      <w:r w:rsidR="0052057D" w:rsidRPr="0052057D">
        <w:rPr>
          <w:rFonts w:cs="Arial"/>
          <w:szCs w:val="24"/>
        </w:rPr>
        <w:t xml:space="preserve">has a long history of providing </w:t>
      </w:r>
      <w:r w:rsidR="0052057D" w:rsidRPr="0052057D">
        <w:rPr>
          <w:rFonts w:cs="Arial"/>
          <w:i/>
          <w:szCs w:val="24"/>
        </w:rPr>
        <w:t>pro bono</w:t>
      </w:r>
      <w:r w:rsidR="0052057D" w:rsidRPr="0052057D">
        <w:rPr>
          <w:rFonts w:cs="Arial"/>
          <w:szCs w:val="24"/>
        </w:rPr>
        <w:t xml:space="preserve"> representation to eligible </w:t>
      </w:r>
      <w:r w:rsidR="00B83676">
        <w:rPr>
          <w:rFonts w:cs="Arial"/>
          <w:szCs w:val="24"/>
        </w:rPr>
        <w:t xml:space="preserve">indigent </w:t>
      </w:r>
      <w:r w:rsidR="0052057D" w:rsidRPr="0052057D">
        <w:rPr>
          <w:rFonts w:cs="Arial"/>
          <w:szCs w:val="24"/>
        </w:rPr>
        <w:t>litigants in civil cases</w:t>
      </w:r>
      <w:r w:rsidR="0052057D">
        <w:rPr>
          <w:rFonts w:cs="Arial"/>
          <w:szCs w:val="24"/>
        </w:rPr>
        <w:t xml:space="preserve">. Despite these laudable efforts, </w:t>
      </w:r>
      <w:r w:rsidRPr="008B7ED8">
        <w:rPr>
          <w:rFonts w:cs="Arial"/>
          <w:szCs w:val="24"/>
        </w:rPr>
        <w:t>over the past four years,</w:t>
      </w:r>
      <w:r w:rsidR="0052057D">
        <w:rPr>
          <w:rFonts w:cs="Arial"/>
          <w:szCs w:val="24"/>
        </w:rPr>
        <w:t xml:space="preserve"> </w:t>
      </w:r>
      <w:r w:rsidR="0052057D" w:rsidRPr="008B7ED8">
        <w:rPr>
          <w:rFonts w:cs="Arial"/>
          <w:szCs w:val="24"/>
        </w:rPr>
        <w:t>our District average</w:t>
      </w:r>
      <w:r w:rsidR="005C70EF">
        <w:rPr>
          <w:rFonts w:cs="Arial"/>
          <w:szCs w:val="24"/>
        </w:rPr>
        <w:t>d</w:t>
      </w:r>
      <w:r w:rsidR="0052057D" w:rsidRPr="008B7ED8">
        <w:rPr>
          <w:rFonts w:cs="Arial"/>
          <w:szCs w:val="24"/>
        </w:rPr>
        <w:t xml:space="preserve"> 547 </w:t>
      </w:r>
      <w:r w:rsidR="0052057D" w:rsidRPr="002C082B">
        <w:rPr>
          <w:rFonts w:cs="Arial"/>
          <w:i/>
          <w:szCs w:val="24"/>
        </w:rPr>
        <w:t>pro se</w:t>
      </w:r>
      <w:r w:rsidR="0052057D" w:rsidRPr="008B7ED8">
        <w:rPr>
          <w:rFonts w:cs="Arial"/>
          <w:szCs w:val="24"/>
        </w:rPr>
        <w:t xml:space="preserve"> cases (prisoner and non-prisoner) filed </w:t>
      </w:r>
      <w:proofErr w:type="gramStart"/>
      <w:r w:rsidR="0052057D" w:rsidRPr="008B7ED8">
        <w:rPr>
          <w:rFonts w:cs="Arial"/>
          <w:szCs w:val="24"/>
        </w:rPr>
        <w:t>annually</w:t>
      </w:r>
      <w:r w:rsidR="0052057D">
        <w:rPr>
          <w:rFonts w:cs="Arial"/>
          <w:szCs w:val="24"/>
        </w:rPr>
        <w:t>, and</w:t>
      </w:r>
      <w:proofErr w:type="gramEnd"/>
      <w:r w:rsidR="0052057D">
        <w:rPr>
          <w:rFonts w:cs="Arial"/>
          <w:szCs w:val="24"/>
        </w:rPr>
        <w:t xml:space="preserve"> average</w:t>
      </w:r>
      <w:r w:rsidR="00887062">
        <w:rPr>
          <w:rFonts w:cs="Arial"/>
          <w:szCs w:val="24"/>
        </w:rPr>
        <w:t>d</w:t>
      </w:r>
      <w:r w:rsidR="0052057D">
        <w:rPr>
          <w:rFonts w:cs="Arial"/>
          <w:szCs w:val="24"/>
        </w:rPr>
        <w:t xml:space="preserve"> only </w:t>
      </w:r>
      <w:r w:rsidRPr="008B7ED8">
        <w:rPr>
          <w:rFonts w:cs="Arial"/>
          <w:szCs w:val="24"/>
        </w:rPr>
        <w:t xml:space="preserve">17 </w:t>
      </w:r>
      <w:r w:rsidRPr="00CF0FF4">
        <w:rPr>
          <w:rFonts w:cs="Arial"/>
          <w:i/>
          <w:szCs w:val="24"/>
        </w:rPr>
        <w:t>pro bono</w:t>
      </w:r>
      <w:r w:rsidRPr="008B7ED8">
        <w:rPr>
          <w:rFonts w:cs="Arial"/>
          <w:szCs w:val="24"/>
        </w:rPr>
        <w:t xml:space="preserve"> appointments per year</w:t>
      </w:r>
      <w:r w:rsidR="0052057D">
        <w:rPr>
          <w:rFonts w:cs="Arial"/>
          <w:szCs w:val="24"/>
        </w:rPr>
        <w:t xml:space="preserve">.  Hence, only </w:t>
      </w:r>
      <w:r w:rsidRPr="008B7ED8">
        <w:rPr>
          <w:rFonts w:cs="Arial"/>
          <w:szCs w:val="24"/>
        </w:rPr>
        <w:t>about 3% of these cases receive counsel</w:t>
      </w:r>
      <w:r w:rsidR="00121377">
        <w:rPr>
          <w:rFonts w:cs="Arial"/>
          <w:szCs w:val="24"/>
        </w:rPr>
        <w:t>, which is less than comparable districts</w:t>
      </w:r>
      <w:r w:rsidRPr="008B7ED8">
        <w:rPr>
          <w:rFonts w:cs="Arial"/>
          <w:szCs w:val="24"/>
        </w:rPr>
        <w:t xml:space="preserve">. </w:t>
      </w:r>
      <w:r w:rsidR="0052057D">
        <w:rPr>
          <w:rFonts w:cs="Arial"/>
          <w:szCs w:val="24"/>
        </w:rPr>
        <w:t xml:space="preserve">One of the reasons for that </w:t>
      </w:r>
      <w:r w:rsidR="00A2410D">
        <w:rPr>
          <w:rFonts w:cs="Arial"/>
          <w:szCs w:val="24"/>
        </w:rPr>
        <w:t xml:space="preserve">is that </w:t>
      </w:r>
      <w:r w:rsidRPr="008B7ED8">
        <w:rPr>
          <w:rFonts w:cs="Arial"/>
          <w:szCs w:val="24"/>
        </w:rPr>
        <w:t xml:space="preserve">our District does not currently have a formal </w:t>
      </w:r>
      <w:r w:rsidRPr="00CF0FF4">
        <w:rPr>
          <w:rFonts w:cs="Arial"/>
          <w:i/>
          <w:szCs w:val="24"/>
        </w:rPr>
        <w:t>pro bono</w:t>
      </w:r>
      <w:r w:rsidRPr="008B7ED8">
        <w:rPr>
          <w:rFonts w:cs="Arial"/>
          <w:szCs w:val="24"/>
        </w:rPr>
        <w:t xml:space="preserve"> appointment process or plan. </w:t>
      </w:r>
      <w:r w:rsidR="00887062">
        <w:rPr>
          <w:rFonts w:cs="Arial"/>
          <w:szCs w:val="24"/>
        </w:rPr>
        <w:t xml:space="preserve"> T</w:t>
      </w:r>
      <w:r w:rsidRPr="008B7ED8">
        <w:rPr>
          <w:rFonts w:cs="Arial"/>
          <w:szCs w:val="24"/>
        </w:rPr>
        <w:t xml:space="preserve">he use of </w:t>
      </w:r>
      <w:r w:rsidRPr="00121377">
        <w:rPr>
          <w:rFonts w:cs="Arial"/>
          <w:i/>
          <w:szCs w:val="24"/>
        </w:rPr>
        <w:t>pro bono</w:t>
      </w:r>
      <w:r w:rsidRPr="008B7ED8">
        <w:rPr>
          <w:rFonts w:cs="Arial"/>
          <w:szCs w:val="24"/>
        </w:rPr>
        <w:t xml:space="preserve"> counsel ensures equal access to justice, permits the </w:t>
      </w:r>
      <w:r w:rsidR="00E34F31">
        <w:rPr>
          <w:rFonts w:cs="Arial"/>
          <w:szCs w:val="24"/>
        </w:rPr>
        <w:t>C</w:t>
      </w:r>
      <w:r w:rsidRPr="008B7ED8">
        <w:rPr>
          <w:rFonts w:cs="Arial"/>
          <w:szCs w:val="24"/>
        </w:rPr>
        <w:t>ourt to more effectively address these cases, and often provides valuable experience to younger attorneys</w:t>
      </w:r>
      <w:r w:rsidR="00887062">
        <w:rPr>
          <w:rFonts w:cs="Arial"/>
          <w:szCs w:val="24"/>
        </w:rPr>
        <w:t xml:space="preserve">.  However, </w:t>
      </w:r>
      <w:r w:rsidRPr="008B7ED8">
        <w:rPr>
          <w:rFonts w:cs="Arial"/>
          <w:szCs w:val="24"/>
        </w:rPr>
        <w:t xml:space="preserve">the lack of an effective </w:t>
      </w:r>
      <w:r w:rsidR="00A2410D">
        <w:rPr>
          <w:rFonts w:cs="Arial"/>
          <w:szCs w:val="24"/>
        </w:rPr>
        <w:t>plan</w:t>
      </w:r>
      <w:r w:rsidRPr="008B7ED8">
        <w:rPr>
          <w:rFonts w:cs="Arial"/>
          <w:szCs w:val="24"/>
        </w:rPr>
        <w:t xml:space="preserve"> inhibits the use of this tool. </w:t>
      </w:r>
    </w:p>
    <w:p w14:paraId="20484573" w14:textId="77777777" w:rsidR="008B7ED8" w:rsidRDefault="00A60A9F" w:rsidP="002A198A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F0FF4">
        <w:rPr>
          <w:rFonts w:cs="Arial"/>
          <w:szCs w:val="24"/>
        </w:rPr>
        <w:t xml:space="preserve">To address this issue, the </w:t>
      </w:r>
      <w:r w:rsidR="00B83676">
        <w:rPr>
          <w:rFonts w:cs="Arial"/>
          <w:szCs w:val="24"/>
        </w:rPr>
        <w:t>C</w:t>
      </w:r>
      <w:r w:rsidR="00CF0FF4">
        <w:rPr>
          <w:rFonts w:cs="Arial"/>
          <w:szCs w:val="24"/>
        </w:rPr>
        <w:t xml:space="preserve">ourt empaneled a </w:t>
      </w:r>
      <w:r w:rsidRPr="00A60A9F">
        <w:rPr>
          <w:rFonts w:cs="Arial"/>
          <w:szCs w:val="24"/>
        </w:rPr>
        <w:t xml:space="preserve">subcommittee comprised of </w:t>
      </w:r>
      <w:r w:rsidR="00E34F31">
        <w:rPr>
          <w:rFonts w:cs="Arial"/>
          <w:szCs w:val="24"/>
        </w:rPr>
        <w:t>C</w:t>
      </w:r>
      <w:r w:rsidRPr="00A60A9F">
        <w:rPr>
          <w:rFonts w:cs="Arial"/>
          <w:szCs w:val="24"/>
        </w:rPr>
        <w:t xml:space="preserve">ourt staff and members of </w:t>
      </w:r>
      <w:r w:rsidR="00B83676">
        <w:rPr>
          <w:rFonts w:cs="Arial"/>
          <w:szCs w:val="24"/>
        </w:rPr>
        <w:t xml:space="preserve">its </w:t>
      </w:r>
      <w:r w:rsidRPr="00A60A9F">
        <w:rPr>
          <w:rFonts w:cs="Arial"/>
          <w:szCs w:val="24"/>
        </w:rPr>
        <w:t xml:space="preserve">bar, including Robert Conklin, Amy Hemenway, Carolyn Nussbaum, Michael Perley, Rodney Personius, Stephen Schwarz, and Sheldon Smith.  </w:t>
      </w:r>
      <w:r w:rsidR="00CF0FF4">
        <w:rPr>
          <w:rFonts w:cs="Arial"/>
          <w:szCs w:val="24"/>
        </w:rPr>
        <w:t>With their valuable input</w:t>
      </w:r>
      <w:r w:rsidR="002E7A57">
        <w:rPr>
          <w:rFonts w:cs="Arial"/>
          <w:szCs w:val="24"/>
        </w:rPr>
        <w:t xml:space="preserve"> and in partnership with the </w:t>
      </w:r>
      <w:r w:rsidR="002E7A57" w:rsidRPr="009954C1">
        <w:rPr>
          <w:rFonts w:cs="Arial"/>
          <w:szCs w:val="24"/>
        </w:rPr>
        <w:t xml:space="preserve">Erie County Bar Association Volunteer Lawyers Project </w:t>
      </w:r>
      <w:r w:rsidR="002E7A57">
        <w:rPr>
          <w:rFonts w:cs="Arial"/>
          <w:szCs w:val="24"/>
        </w:rPr>
        <w:t xml:space="preserve">(“VLP”) </w:t>
      </w:r>
      <w:r w:rsidR="002E7A57" w:rsidRPr="009954C1">
        <w:rPr>
          <w:rFonts w:cs="Arial"/>
          <w:szCs w:val="24"/>
        </w:rPr>
        <w:t>and the Volunteer Legal Services Project of Monroe County, Inc.</w:t>
      </w:r>
      <w:r w:rsidR="002E7A57">
        <w:rPr>
          <w:rFonts w:cs="Arial"/>
          <w:szCs w:val="24"/>
        </w:rPr>
        <w:t xml:space="preserve"> (“VLSP”)</w:t>
      </w:r>
      <w:r w:rsidR="00CF0FF4">
        <w:rPr>
          <w:rFonts w:cs="Arial"/>
          <w:szCs w:val="24"/>
        </w:rPr>
        <w:t xml:space="preserve">, </w:t>
      </w:r>
      <w:r w:rsidR="008B7ED8" w:rsidRPr="008B7ED8">
        <w:rPr>
          <w:rFonts w:cs="Arial"/>
          <w:szCs w:val="24"/>
        </w:rPr>
        <w:t xml:space="preserve">the </w:t>
      </w:r>
      <w:r w:rsidR="00E34F31">
        <w:rPr>
          <w:rFonts w:cs="Arial"/>
          <w:szCs w:val="24"/>
        </w:rPr>
        <w:t>C</w:t>
      </w:r>
      <w:r w:rsidR="00CF0FF4">
        <w:rPr>
          <w:rFonts w:cs="Arial"/>
          <w:szCs w:val="24"/>
        </w:rPr>
        <w:t xml:space="preserve">ourt </w:t>
      </w:r>
      <w:r w:rsidR="008B7ED8" w:rsidRPr="008B7ED8">
        <w:rPr>
          <w:rFonts w:cs="Arial"/>
          <w:szCs w:val="24"/>
        </w:rPr>
        <w:t>develop</w:t>
      </w:r>
      <w:r w:rsidR="00B83676">
        <w:rPr>
          <w:rFonts w:cs="Arial"/>
          <w:szCs w:val="24"/>
        </w:rPr>
        <w:t>ed</w:t>
      </w:r>
      <w:r w:rsidR="008B7ED8" w:rsidRPr="008B7ED8">
        <w:rPr>
          <w:rFonts w:cs="Arial"/>
          <w:szCs w:val="24"/>
        </w:rPr>
        <w:t xml:space="preserve"> a comprehensive plan that includes 1) formalizing the District’s </w:t>
      </w:r>
      <w:r w:rsidR="008B7ED8" w:rsidRPr="00CF0FF4">
        <w:rPr>
          <w:rFonts w:cs="Arial"/>
          <w:i/>
          <w:szCs w:val="24"/>
        </w:rPr>
        <w:t>pro bono</w:t>
      </w:r>
      <w:r w:rsidR="008B7ED8" w:rsidRPr="008B7ED8">
        <w:rPr>
          <w:rFonts w:cs="Arial"/>
          <w:szCs w:val="24"/>
        </w:rPr>
        <w:t xml:space="preserve"> appointment process to allow the </w:t>
      </w:r>
      <w:r w:rsidR="00E34F31">
        <w:rPr>
          <w:rFonts w:cs="Arial"/>
          <w:szCs w:val="24"/>
        </w:rPr>
        <w:t>C</w:t>
      </w:r>
      <w:r w:rsidR="008B7ED8" w:rsidRPr="008B7ED8">
        <w:rPr>
          <w:rFonts w:cs="Arial"/>
          <w:szCs w:val="24"/>
        </w:rPr>
        <w:t xml:space="preserve">ourt to appoint counsel to a larger number of </w:t>
      </w:r>
      <w:r w:rsidR="00B83676">
        <w:rPr>
          <w:rFonts w:cs="Arial"/>
          <w:szCs w:val="24"/>
        </w:rPr>
        <w:t xml:space="preserve">eligible </w:t>
      </w:r>
      <w:r w:rsidR="008B7ED8" w:rsidRPr="00CF0FF4">
        <w:rPr>
          <w:rFonts w:cs="Arial"/>
          <w:i/>
          <w:szCs w:val="24"/>
        </w:rPr>
        <w:t>pro bono</w:t>
      </w:r>
      <w:r w:rsidR="008B7ED8" w:rsidRPr="008B7ED8">
        <w:rPr>
          <w:rFonts w:cs="Arial"/>
          <w:szCs w:val="24"/>
        </w:rPr>
        <w:t xml:space="preserve"> cases, </w:t>
      </w:r>
      <w:r w:rsidR="001D6C88">
        <w:rPr>
          <w:rFonts w:cs="Arial"/>
          <w:szCs w:val="24"/>
        </w:rPr>
        <w:t>including</w:t>
      </w:r>
      <w:r w:rsidR="008B7ED8" w:rsidRPr="008B7ED8">
        <w:rPr>
          <w:rFonts w:cs="Arial"/>
          <w:szCs w:val="24"/>
        </w:rPr>
        <w:t xml:space="preserve"> limited scope appointments to curb the burden on appointed counsel and to assist the </w:t>
      </w:r>
      <w:r w:rsidR="00E34F31">
        <w:rPr>
          <w:rFonts w:cs="Arial"/>
          <w:szCs w:val="24"/>
        </w:rPr>
        <w:t>C</w:t>
      </w:r>
      <w:r w:rsidR="008B7ED8" w:rsidRPr="008B7ED8">
        <w:rPr>
          <w:rFonts w:cs="Arial"/>
          <w:szCs w:val="24"/>
        </w:rPr>
        <w:t xml:space="preserve">ourt in efficiently handling these cases by providing counsel for targeted junctures of a case - </w:t>
      </w:r>
      <w:r w:rsidR="008B7ED8" w:rsidRPr="00CF0FF4">
        <w:rPr>
          <w:rFonts w:cs="Arial"/>
          <w:i/>
          <w:szCs w:val="24"/>
        </w:rPr>
        <w:t>e.g.</w:t>
      </w:r>
      <w:r w:rsidR="008B7ED8" w:rsidRPr="008B7ED8">
        <w:rPr>
          <w:rFonts w:cs="Arial"/>
          <w:szCs w:val="24"/>
        </w:rPr>
        <w:t xml:space="preserve">, </w:t>
      </w:r>
      <w:r w:rsidR="00B83676">
        <w:rPr>
          <w:rFonts w:cs="Arial"/>
          <w:szCs w:val="24"/>
        </w:rPr>
        <w:t>mediation</w:t>
      </w:r>
      <w:r w:rsidR="008B7ED8" w:rsidRPr="008B7ED8">
        <w:rPr>
          <w:rFonts w:cs="Arial"/>
          <w:szCs w:val="24"/>
        </w:rPr>
        <w:t xml:space="preserve"> or amendment of pleadings; 2) increasing the </w:t>
      </w:r>
      <w:r w:rsidR="00B83676">
        <w:rPr>
          <w:rFonts w:cs="Arial"/>
          <w:szCs w:val="24"/>
        </w:rPr>
        <w:t>effectiveness</w:t>
      </w:r>
      <w:r w:rsidR="008B7ED8" w:rsidRPr="008B7ED8">
        <w:rPr>
          <w:rFonts w:cs="Arial"/>
          <w:szCs w:val="24"/>
        </w:rPr>
        <w:t xml:space="preserve"> of </w:t>
      </w:r>
      <w:r w:rsidR="00B83676">
        <w:rPr>
          <w:rFonts w:cs="Arial"/>
          <w:szCs w:val="24"/>
        </w:rPr>
        <w:t xml:space="preserve">the </w:t>
      </w:r>
      <w:r w:rsidR="008B7ED8" w:rsidRPr="00B83676">
        <w:rPr>
          <w:rFonts w:cs="Arial"/>
          <w:i/>
          <w:szCs w:val="24"/>
        </w:rPr>
        <w:t>pro bono</w:t>
      </w:r>
      <w:r w:rsidR="008B7ED8" w:rsidRPr="008B7ED8">
        <w:rPr>
          <w:rFonts w:cs="Arial"/>
          <w:szCs w:val="24"/>
        </w:rPr>
        <w:t xml:space="preserve"> representation by increasing the cap on reimbursable expenses for these cases; and 3) </w:t>
      </w:r>
      <w:r w:rsidR="00887062">
        <w:rPr>
          <w:rFonts w:cs="Arial"/>
          <w:szCs w:val="24"/>
        </w:rPr>
        <w:t xml:space="preserve">funding these initiatives by </w:t>
      </w:r>
      <w:r w:rsidR="008B7ED8" w:rsidRPr="008B7ED8">
        <w:rPr>
          <w:rFonts w:cs="Arial"/>
          <w:szCs w:val="24"/>
        </w:rPr>
        <w:t xml:space="preserve">increasing the current admission fees and imposing a biennial registration fee on all admitted attorneys.  </w:t>
      </w:r>
    </w:p>
    <w:p w14:paraId="0F9CFF5B" w14:textId="77777777" w:rsidR="00CF0FF4" w:rsidRDefault="00CF0FF4" w:rsidP="002A198A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 summary of the proposed </w:t>
      </w:r>
      <w:r w:rsidRPr="00CF0FF4">
        <w:rPr>
          <w:rFonts w:cs="Arial"/>
          <w:i/>
          <w:szCs w:val="24"/>
        </w:rPr>
        <w:t>pro bono</w:t>
      </w:r>
      <w:r>
        <w:rPr>
          <w:rFonts w:cs="Arial"/>
          <w:szCs w:val="24"/>
        </w:rPr>
        <w:t xml:space="preserve"> rule, as well as the other proposed amendments to the Local Rules of Civil and Criminal Procedure are set forth below.  </w:t>
      </w:r>
    </w:p>
    <w:p w14:paraId="14FD10D7" w14:textId="77777777" w:rsidR="005056D4" w:rsidRDefault="005056D4" w:rsidP="002A198A">
      <w:pPr>
        <w:spacing w:after="0" w:line="480" w:lineRule="auto"/>
        <w:rPr>
          <w:rFonts w:cs="Arial"/>
          <w:szCs w:val="24"/>
        </w:rPr>
      </w:pPr>
    </w:p>
    <w:p w14:paraId="4B7BC638" w14:textId="77777777" w:rsidR="002A198A" w:rsidRPr="002A5186" w:rsidRDefault="002A198A" w:rsidP="00954426">
      <w:pPr>
        <w:spacing w:after="0" w:line="480" w:lineRule="auto"/>
        <w:jc w:val="center"/>
        <w:rPr>
          <w:rFonts w:cs="Arial"/>
          <w:b/>
          <w:sz w:val="28"/>
          <w:szCs w:val="28"/>
        </w:rPr>
      </w:pPr>
      <w:r w:rsidRPr="002A5186">
        <w:rPr>
          <w:rFonts w:cs="Arial"/>
          <w:b/>
          <w:sz w:val="28"/>
          <w:szCs w:val="28"/>
        </w:rPr>
        <w:t xml:space="preserve">The Proposed </w:t>
      </w:r>
      <w:r w:rsidR="001C3280" w:rsidRPr="002A5186">
        <w:rPr>
          <w:rFonts w:cs="Arial"/>
          <w:b/>
          <w:i/>
          <w:sz w:val="28"/>
          <w:szCs w:val="28"/>
        </w:rPr>
        <w:t>Pro Bono</w:t>
      </w:r>
      <w:r w:rsidR="001C3280" w:rsidRPr="002A5186">
        <w:rPr>
          <w:rFonts w:cs="Arial"/>
          <w:b/>
          <w:sz w:val="28"/>
          <w:szCs w:val="28"/>
        </w:rPr>
        <w:t xml:space="preserve"> Plan</w:t>
      </w:r>
    </w:p>
    <w:p w14:paraId="6670426F" w14:textId="77777777" w:rsidR="001C3280" w:rsidRPr="002A198A" w:rsidRDefault="001C3280" w:rsidP="002A198A">
      <w:pPr>
        <w:pStyle w:val="ListParagraph"/>
        <w:numPr>
          <w:ilvl w:val="0"/>
          <w:numId w:val="4"/>
        </w:numPr>
        <w:spacing w:after="0" w:line="480" w:lineRule="auto"/>
        <w:ind w:hanging="720"/>
        <w:rPr>
          <w:rFonts w:cs="Arial"/>
          <w:b/>
          <w:szCs w:val="24"/>
        </w:rPr>
      </w:pPr>
      <w:r w:rsidRPr="002A198A">
        <w:rPr>
          <w:rFonts w:cs="Arial"/>
          <w:b/>
          <w:szCs w:val="24"/>
        </w:rPr>
        <w:t>Proposed Enactment of L</w:t>
      </w:r>
      <w:r w:rsidR="00954426">
        <w:rPr>
          <w:rFonts w:cs="Arial"/>
          <w:b/>
          <w:szCs w:val="24"/>
        </w:rPr>
        <w:t>.</w:t>
      </w:r>
      <w:r w:rsidRPr="002A198A">
        <w:rPr>
          <w:rFonts w:cs="Arial"/>
          <w:b/>
          <w:szCs w:val="24"/>
        </w:rPr>
        <w:t>R</w:t>
      </w:r>
      <w:r w:rsidR="00954426">
        <w:rPr>
          <w:rFonts w:cs="Arial"/>
          <w:b/>
          <w:szCs w:val="24"/>
        </w:rPr>
        <w:t>.</w:t>
      </w:r>
      <w:r w:rsidRPr="002A198A">
        <w:rPr>
          <w:rFonts w:cs="Arial"/>
          <w:b/>
          <w:szCs w:val="24"/>
        </w:rPr>
        <w:t xml:space="preserve"> Civ. P. 83.8 (</w:t>
      </w:r>
      <w:r w:rsidRPr="002A198A">
        <w:rPr>
          <w:rFonts w:cs="Arial"/>
          <w:b/>
          <w:i/>
          <w:szCs w:val="24"/>
        </w:rPr>
        <w:t>pro bono</w:t>
      </w:r>
      <w:r w:rsidRPr="002A198A">
        <w:rPr>
          <w:rFonts w:cs="Arial"/>
          <w:b/>
          <w:szCs w:val="24"/>
        </w:rPr>
        <w:t xml:space="preserve"> service)</w:t>
      </w:r>
    </w:p>
    <w:p w14:paraId="7BB19255" w14:textId="77777777" w:rsidR="002B09D0" w:rsidRDefault="001C3280" w:rsidP="002A198A">
      <w:pPr>
        <w:spacing w:after="0" w:line="480" w:lineRule="auto"/>
        <w:rPr>
          <w:rFonts w:cs="Arial"/>
          <w:szCs w:val="24"/>
        </w:rPr>
      </w:pPr>
      <w:r w:rsidRPr="009954C1">
        <w:rPr>
          <w:rFonts w:cs="Arial"/>
          <w:szCs w:val="24"/>
        </w:rPr>
        <w:tab/>
      </w:r>
      <w:r w:rsidRPr="009954C1">
        <w:rPr>
          <w:rFonts w:cs="Arial"/>
          <w:szCs w:val="24"/>
        </w:rPr>
        <w:tab/>
        <w:t>Consistent with the Court</w:t>
      </w:r>
      <w:r>
        <w:rPr>
          <w:rFonts w:cs="Arial"/>
          <w:szCs w:val="24"/>
        </w:rPr>
        <w:t>’</w:t>
      </w:r>
      <w:r w:rsidRPr="009954C1">
        <w:rPr>
          <w:rFonts w:cs="Arial"/>
          <w:szCs w:val="24"/>
        </w:rPr>
        <w:t xml:space="preserve">s inherent authority and 28 U.S.C. §1915(e)(1), the </w:t>
      </w:r>
      <w:r>
        <w:rPr>
          <w:rFonts w:cs="Arial"/>
          <w:szCs w:val="24"/>
        </w:rPr>
        <w:t xml:space="preserve">proposed Local Rule </w:t>
      </w:r>
      <w:r w:rsidRPr="009954C1">
        <w:rPr>
          <w:rFonts w:cs="Arial"/>
          <w:szCs w:val="24"/>
        </w:rPr>
        <w:t>provide</w:t>
      </w:r>
      <w:r>
        <w:rPr>
          <w:rFonts w:cs="Arial"/>
          <w:szCs w:val="24"/>
        </w:rPr>
        <w:t>s</w:t>
      </w:r>
      <w:r w:rsidRPr="009954C1">
        <w:rPr>
          <w:rFonts w:cs="Arial"/>
          <w:szCs w:val="24"/>
        </w:rPr>
        <w:t xml:space="preserve"> a formalized framework to make appointments </w:t>
      </w:r>
      <w:r w:rsidR="00B83676">
        <w:rPr>
          <w:rFonts w:cs="Arial"/>
          <w:szCs w:val="24"/>
        </w:rPr>
        <w:t>simpler</w:t>
      </w:r>
      <w:r w:rsidRPr="009954C1">
        <w:rPr>
          <w:rFonts w:cs="Arial"/>
          <w:szCs w:val="24"/>
        </w:rPr>
        <w:t xml:space="preserve"> for the </w:t>
      </w:r>
      <w:r w:rsidR="00B83676">
        <w:rPr>
          <w:rFonts w:cs="Arial"/>
          <w:szCs w:val="24"/>
        </w:rPr>
        <w:t>C</w:t>
      </w:r>
      <w:r w:rsidRPr="009954C1">
        <w:rPr>
          <w:rFonts w:cs="Arial"/>
          <w:szCs w:val="24"/>
        </w:rPr>
        <w:t xml:space="preserve">ourt and more equitable and transparent to the bar. To accomplish this, the proposed Local Rule creates a panel of volunteer attorneys willing to accept limited or full scope appointments.  If no attorney from the volunteer panel is available, the </w:t>
      </w:r>
      <w:r w:rsidR="00B83676">
        <w:rPr>
          <w:rFonts w:cs="Arial"/>
          <w:szCs w:val="24"/>
        </w:rPr>
        <w:t>C</w:t>
      </w:r>
      <w:r w:rsidRPr="009954C1">
        <w:rPr>
          <w:rFonts w:cs="Arial"/>
          <w:szCs w:val="24"/>
        </w:rPr>
        <w:t xml:space="preserve">ourt </w:t>
      </w:r>
      <w:r w:rsidR="003E16BB">
        <w:rPr>
          <w:rFonts w:cs="Arial"/>
          <w:szCs w:val="24"/>
        </w:rPr>
        <w:t xml:space="preserve">will </w:t>
      </w:r>
      <w:r w:rsidRPr="009954C1">
        <w:rPr>
          <w:rFonts w:cs="Arial"/>
          <w:szCs w:val="24"/>
        </w:rPr>
        <w:t xml:space="preserve">randomly select an attorney from an assignment wheel comprised of </w:t>
      </w:r>
      <w:r>
        <w:rPr>
          <w:rFonts w:cs="Arial"/>
          <w:szCs w:val="24"/>
        </w:rPr>
        <w:t xml:space="preserve">admitted </w:t>
      </w:r>
      <w:r w:rsidRPr="009954C1">
        <w:rPr>
          <w:rFonts w:cs="Arial"/>
          <w:szCs w:val="24"/>
        </w:rPr>
        <w:t xml:space="preserve">attorneys with an office in this District who have entered an appearance in at least one </w:t>
      </w:r>
      <w:r>
        <w:rPr>
          <w:rFonts w:cs="Arial"/>
          <w:szCs w:val="24"/>
        </w:rPr>
        <w:t xml:space="preserve">civil or criminal </w:t>
      </w:r>
      <w:r w:rsidRPr="009954C1">
        <w:rPr>
          <w:rFonts w:cs="Arial"/>
          <w:szCs w:val="24"/>
        </w:rPr>
        <w:t>case within the last two years of the appointment</w:t>
      </w:r>
      <w:r>
        <w:rPr>
          <w:rFonts w:cs="Arial"/>
          <w:szCs w:val="24"/>
        </w:rPr>
        <w:t xml:space="preserve">, subject to certain exclusions - </w:t>
      </w:r>
      <w:r w:rsidRPr="00977E02">
        <w:rPr>
          <w:rFonts w:cs="Arial"/>
          <w:i/>
          <w:szCs w:val="24"/>
        </w:rPr>
        <w:t>e.g.</w:t>
      </w:r>
      <w:r>
        <w:rPr>
          <w:rFonts w:cs="Arial"/>
          <w:szCs w:val="24"/>
        </w:rPr>
        <w:t xml:space="preserve">, government or legal aid attorneys. </w:t>
      </w:r>
      <w:r w:rsidRPr="009954C1">
        <w:rPr>
          <w:rFonts w:cs="Arial"/>
          <w:szCs w:val="24"/>
        </w:rPr>
        <w:t xml:space="preserve"> </w:t>
      </w:r>
      <w:r w:rsidR="00581200">
        <w:rPr>
          <w:rFonts w:cs="Arial"/>
          <w:szCs w:val="24"/>
        </w:rPr>
        <w:t>T</w:t>
      </w:r>
      <w:r w:rsidR="00581200" w:rsidRPr="009954C1">
        <w:rPr>
          <w:rFonts w:cs="Arial"/>
          <w:szCs w:val="24"/>
        </w:rPr>
        <w:t xml:space="preserve">he proposed Local Rule provides clear guidance on </w:t>
      </w:r>
      <w:r w:rsidR="00581200">
        <w:rPr>
          <w:rFonts w:cs="Arial"/>
          <w:szCs w:val="24"/>
        </w:rPr>
        <w:t xml:space="preserve">the </w:t>
      </w:r>
      <w:r w:rsidR="00581200" w:rsidRPr="009954C1">
        <w:rPr>
          <w:rFonts w:cs="Arial"/>
          <w:szCs w:val="24"/>
        </w:rPr>
        <w:t>withdrawal procedure</w:t>
      </w:r>
      <w:r w:rsidR="00581200">
        <w:rPr>
          <w:rFonts w:cs="Arial"/>
          <w:szCs w:val="24"/>
        </w:rPr>
        <w:t xml:space="preserve">, including </w:t>
      </w:r>
      <w:r w:rsidR="00581200" w:rsidRPr="009954C1">
        <w:rPr>
          <w:rFonts w:cs="Arial"/>
          <w:szCs w:val="24"/>
        </w:rPr>
        <w:t>specific grounds for automatic relief from an appointment (</w:t>
      </w:r>
      <w:r w:rsidR="00581200" w:rsidRPr="003D69AE">
        <w:rPr>
          <w:rFonts w:cs="Arial"/>
          <w:i/>
          <w:szCs w:val="24"/>
        </w:rPr>
        <w:t>e.g.</w:t>
      </w:r>
      <w:r w:rsidR="00581200" w:rsidRPr="009954C1">
        <w:rPr>
          <w:rFonts w:cs="Arial"/>
          <w:szCs w:val="24"/>
        </w:rPr>
        <w:t>, a conflict of interest)</w:t>
      </w:r>
      <w:r w:rsidR="00581200">
        <w:rPr>
          <w:rFonts w:cs="Arial"/>
          <w:szCs w:val="24"/>
        </w:rPr>
        <w:t>.  It also</w:t>
      </w:r>
      <w:r w:rsidR="00581200" w:rsidRPr="009954C1">
        <w:rPr>
          <w:rFonts w:cs="Arial"/>
          <w:szCs w:val="24"/>
        </w:rPr>
        <w:t xml:space="preserve"> permits attorneys to seek relief from an appointment by letter, rather than a motion.  </w:t>
      </w:r>
    </w:p>
    <w:p w14:paraId="6647CA4D" w14:textId="77777777" w:rsidR="00E11CC7" w:rsidRDefault="002B09D0" w:rsidP="002A198A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93B53" w:rsidRPr="00693B53">
        <w:rPr>
          <w:rFonts w:cs="Arial"/>
          <w:szCs w:val="24"/>
        </w:rPr>
        <w:t>By accepting an appointment, an attorney fulfills his or her ethical obligations</w:t>
      </w:r>
      <w:r w:rsidR="00887062">
        <w:rPr>
          <w:rFonts w:cs="Arial"/>
          <w:szCs w:val="24"/>
        </w:rPr>
        <w:t>,</w:t>
      </w:r>
      <w:r w:rsidR="00693B53" w:rsidRPr="00693B53">
        <w:rPr>
          <w:rFonts w:cs="Arial"/>
          <w:szCs w:val="24"/>
        </w:rPr>
        <w:t xml:space="preserve"> ensures equal access to the courts, </w:t>
      </w:r>
      <w:r w:rsidR="00887062">
        <w:rPr>
          <w:rFonts w:cs="Arial"/>
          <w:szCs w:val="24"/>
        </w:rPr>
        <w:t>and</w:t>
      </w:r>
      <w:r w:rsidR="00693B53" w:rsidRPr="00693B53">
        <w:rPr>
          <w:rFonts w:cs="Arial"/>
          <w:szCs w:val="24"/>
        </w:rPr>
        <w:t xml:space="preserve"> gain</w:t>
      </w:r>
      <w:r w:rsidR="008B3BD0">
        <w:rPr>
          <w:rFonts w:cs="Arial"/>
          <w:szCs w:val="24"/>
        </w:rPr>
        <w:t>s</w:t>
      </w:r>
      <w:r w:rsidR="00693B53" w:rsidRPr="00693B53">
        <w:rPr>
          <w:rFonts w:cs="Arial"/>
          <w:szCs w:val="24"/>
        </w:rPr>
        <w:t xml:space="preserve"> valuable </w:t>
      </w:r>
      <w:r w:rsidR="00887062">
        <w:rPr>
          <w:rFonts w:cs="Arial"/>
          <w:szCs w:val="24"/>
        </w:rPr>
        <w:t>F</w:t>
      </w:r>
      <w:r w:rsidR="00693B53" w:rsidRPr="00693B53">
        <w:rPr>
          <w:rFonts w:cs="Arial"/>
          <w:szCs w:val="24"/>
        </w:rPr>
        <w:t xml:space="preserve">ederal </w:t>
      </w:r>
      <w:r w:rsidR="00887062">
        <w:rPr>
          <w:rFonts w:cs="Arial"/>
          <w:szCs w:val="24"/>
        </w:rPr>
        <w:t>C</w:t>
      </w:r>
      <w:r w:rsidR="00693B53" w:rsidRPr="00693B53">
        <w:rPr>
          <w:rFonts w:cs="Arial"/>
          <w:szCs w:val="24"/>
        </w:rPr>
        <w:t xml:space="preserve">ourt experience.  </w:t>
      </w:r>
      <w:r>
        <w:rPr>
          <w:rFonts w:cs="Arial"/>
          <w:szCs w:val="24"/>
        </w:rPr>
        <w:t>To facilitate opportunities for newer attorneys, t</w:t>
      </w:r>
      <w:r w:rsidR="001C3280">
        <w:rPr>
          <w:rFonts w:cs="Arial"/>
          <w:szCs w:val="24"/>
        </w:rPr>
        <w:t>he proposed Local Rule creates a</w:t>
      </w:r>
      <w:r w:rsidR="001C3280" w:rsidRPr="009954C1">
        <w:rPr>
          <w:rFonts w:cs="Arial"/>
          <w:szCs w:val="24"/>
        </w:rPr>
        <w:t xml:space="preserve"> senior </w:t>
      </w:r>
      <w:r w:rsidR="001C3280" w:rsidRPr="0056150E">
        <w:rPr>
          <w:rFonts w:cs="Arial"/>
          <w:i/>
          <w:szCs w:val="24"/>
        </w:rPr>
        <w:t>pro bono</w:t>
      </w:r>
      <w:r w:rsidR="001C3280" w:rsidRPr="009954C1">
        <w:rPr>
          <w:rFonts w:cs="Arial"/>
          <w:szCs w:val="24"/>
        </w:rPr>
        <w:t xml:space="preserve"> panel</w:t>
      </w:r>
      <w:r w:rsidR="001C3280">
        <w:rPr>
          <w:rFonts w:cs="Arial"/>
          <w:szCs w:val="24"/>
        </w:rPr>
        <w:t xml:space="preserve"> of selected attorneys to act as co-counsel to less experienced attorneys</w:t>
      </w:r>
      <w:r w:rsidR="00B83676">
        <w:rPr>
          <w:rFonts w:cs="Arial"/>
          <w:szCs w:val="24"/>
        </w:rPr>
        <w:t>.</w:t>
      </w:r>
      <w:r w:rsidR="00581200">
        <w:rPr>
          <w:rFonts w:cs="Arial"/>
          <w:szCs w:val="24"/>
        </w:rPr>
        <w:t xml:space="preserve">  </w:t>
      </w:r>
      <w:r w:rsidR="00B83676">
        <w:rPr>
          <w:rFonts w:cs="Arial"/>
          <w:szCs w:val="24"/>
        </w:rPr>
        <w:t>T</w:t>
      </w:r>
      <w:r w:rsidR="002E7A57">
        <w:rPr>
          <w:rFonts w:cs="Arial"/>
          <w:szCs w:val="24"/>
        </w:rPr>
        <w:t>o encourage</w:t>
      </w:r>
      <w:r>
        <w:rPr>
          <w:rFonts w:cs="Arial"/>
          <w:szCs w:val="24"/>
        </w:rPr>
        <w:t xml:space="preserve"> participation</w:t>
      </w:r>
      <w:r w:rsidR="00693B53">
        <w:rPr>
          <w:rFonts w:cs="Arial"/>
          <w:szCs w:val="24"/>
        </w:rPr>
        <w:t xml:space="preserve"> from all members of the bar of this Court</w:t>
      </w:r>
      <w:r w:rsidR="001C3280" w:rsidRPr="009954C1">
        <w:rPr>
          <w:rFonts w:cs="Arial"/>
          <w:szCs w:val="24"/>
        </w:rPr>
        <w:t xml:space="preserve">, the Erie County Bar Association Volunteer Lawyers Project and the Volunteer Legal Services Project of Monroe County, Inc. have agreed to treat attorneys appointed under the proposed </w:t>
      </w:r>
      <w:r w:rsidR="001C3280">
        <w:rPr>
          <w:rFonts w:cs="Arial"/>
          <w:szCs w:val="24"/>
        </w:rPr>
        <w:t xml:space="preserve">Local Rule </w:t>
      </w:r>
      <w:r w:rsidR="001C3280" w:rsidRPr="009954C1">
        <w:rPr>
          <w:rFonts w:cs="Arial"/>
          <w:szCs w:val="24"/>
        </w:rPr>
        <w:t>as volunteers to those organizations and afford</w:t>
      </w:r>
      <w:r w:rsidR="001C3280">
        <w:rPr>
          <w:rFonts w:cs="Arial"/>
          <w:szCs w:val="24"/>
        </w:rPr>
        <w:t xml:space="preserve"> them </w:t>
      </w:r>
      <w:r w:rsidR="001C3280" w:rsidRPr="009954C1">
        <w:rPr>
          <w:rFonts w:cs="Arial"/>
          <w:szCs w:val="24"/>
        </w:rPr>
        <w:t xml:space="preserve">all </w:t>
      </w:r>
      <w:r w:rsidR="001C3280">
        <w:rPr>
          <w:rFonts w:cs="Arial"/>
          <w:szCs w:val="24"/>
        </w:rPr>
        <w:t xml:space="preserve">of the </w:t>
      </w:r>
      <w:r w:rsidR="001C3280" w:rsidRPr="009954C1">
        <w:rPr>
          <w:rFonts w:cs="Arial"/>
          <w:szCs w:val="24"/>
        </w:rPr>
        <w:t xml:space="preserve">accompanying benefits, including primary malpractice coverage and CLE credit for </w:t>
      </w:r>
      <w:r w:rsidR="001C3280" w:rsidRPr="0056150E">
        <w:rPr>
          <w:rFonts w:cs="Arial"/>
          <w:i/>
          <w:szCs w:val="24"/>
        </w:rPr>
        <w:t>pro bono</w:t>
      </w:r>
      <w:r w:rsidR="001C3280" w:rsidRPr="009954C1">
        <w:rPr>
          <w:rFonts w:cs="Arial"/>
          <w:szCs w:val="24"/>
        </w:rPr>
        <w:t xml:space="preserve"> work.  </w:t>
      </w:r>
      <w:r w:rsidR="00693B53">
        <w:rPr>
          <w:rFonts w:cs="Arial"/>
          <w:szCs w:val="24"/>
        </w:rPr>
        <w:t>T</w:t>
      </w:r>
      <w:r w:rsidR="00E11CC7">
        <w:rPr>
          <w:rFonts w:cs="Arial"/>
          <w:szCs w:val="24"/>
        </w:rPr>
        <w:t xml:space="preserve">he </w:t>
      </w:r>
      <w:r w:rsidR="00B83676">
        <w:rPr>
          <w:rFonts w:cs="Arial"/>
          <w:szCs w:val="24"/>
        </w:rPr>
        <w:t>C</w:t>
      </w:r>
      <w:r w:rsidR="00E11CC7">
        <w:rPr>
          <w:rFonts w:cs="Arial"/>
          <w:szCs w:val="24"/>
        </w:rPr>
        <w:t xml:space="preserve">ourt </w:t>
      </w:r>
      <w:r w:rsidR="00547249">
        <w:rPr>
          <w:rFonts w:cs="Arial"/>
          <w:szCs w:val="24"/>
        </w:rPr>
        <w:t xml:space="preserve">will also </w:t>
      </w:r>
      <w:r w:rsidR="00E11CC7">
        <w:rPr>
          <w:rFonts w:cs="Arial"/>
          <w:szCs w:val="24"/>
        </w:rPr>
        <w:t xml:space="preserve">contribute to those efforts with </w:t>
      </w:r>
      <w:r w:rsidR="00E34F31">
        <w:rPr>
          <w:rFonts w:cs="Arial"/>
          <w:szCs w:val="24"/>
        </w:rPr>
        <w:t>C</w:t>
      </w:r>
      <w:r w:rsidR="00E11CC7" w:rsidRPr="00E11CC7">
        <w:rPr>
          <w:rFonts w:cs="Arial"/>
          <w:szCs w:val="24"/>
        </w:rPr>
        <w:t>ourt-sponsored educational opportunities</w:t>
      </w:r>
      <w:r w:rsidR="00E11CC7">
        <w:rPr>
          <w:rFonts w:cs="Arial"/>
          <w:szCs w:val="24"/>
        </w:rPr>
        <w:t xml:space="preserve">.  </w:t>
      </w:r>
      <w:r w:rsidR="00E11CC7" w:rsidRPr="00E11CC7">
        <w:rPr>
          <w:rFonts w:cs="Arial"/>
          <w:szCs w:val="24"/>
        </w:rPr>
        <w:t xml:space="preserve"> </w:t>
      </w:r>
    </w:p>
    <w:p w14:paraId="6B28DCE3" w14:textId="77777777" w:rsidR="002B09D0" w:rsidRPr="009954C1" w:rsidRDefault="002B09D0" w:rsidP="002A198A">
      <w:pPr>
        <w:spacing w:after="0" w:line="480" w:lineRule="auto"/>
        <w:rPr>
          <w:rFonts w:cs="Arial"/>
          <w:szCs w:val="24"/>
        </w:rPr>
      </w:pPr>
    </w:p>
    <w:p w14:paraId="19AEE668" w14:textId="77777777" w:rsidR="001C3280" w:rsidRDefault="00B534A7" w:rsidP="002A198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="001C3280" w:rsidRPr="003D69AE">
        <w:rPr>
          <w:rFonts w:cs="Arial"/>
          <w:b/>
          <w:szCs w:val="24"/>
        </w:rPr>
        <w:t>.</w:t>
      </w:r>
      <w:r w:rsidR="001C3280" w:rsidRPr="003D69AE">
        <w:rPr>
          <w:rFonts w:cs="Arial"/>
          <w:b/>
          <w:szCs w:val="24"/>
        </w:rPr>
        <w:tab/>
        <w:t>Amendments to the Guidelines</w:t>
      </w:r>
      <w:r w:rsidR="001C3280">
        <w:rPr>
          <w:rFonts w:cs="Arial"/>
          <w:b/>
          <w:szCs w:val="24"/>
        </w:rPr>
        <w:t xml:space="preserve"> Governing Reimbursement </w:t>
      </w:r>
      <w:r w:rsidR="001C3280">
        <w:rPr>
          <w:rFonts w:cs="Arial"/>
          <w:b/>
          <w:szCs w:val="24"/>
        </w:rPr>
        <w:tab/>
      </w:r>
      <w:r w:rsidR="001C3280">
        <w:rPr>
          <w:rFonts w:cs="Arial"/>
          <w:b/>
          <w:szCs w:val="24"/>
        </w:rPr>
        <w:tab/>
      </w:r>
      <w:r w:rsidR="001C3280">
        <w:rPr>
          <w:rFonts w:cs="Arial"/>
          <w:b/>
          <w:szCs w:val="24"/>
        </w:rPr>
        <w:tab/>
      </w:r>
      <w:r w:rsidR="001C3280">
        <w:rPr>
          <w:rFonts w:cs="Arial"/>
          <w:b/>
          <w:szCs w:val="24"/>
        </w:rPr>
        <w:tab/>
        <w:t xml:space="preserve">from the District Court Fund of Expenses Incurred by Court </w:t>
      </w:r>
      <w:r w:rsidR="001C3280">
        <w:rPr>
          <w:rFonts w:cs="Arial"/>
          <w:b/>
          <w:szCs w:val="24"/>
        </w:rPr>
        <w:tab/>
      </w:r>
      <w:r w:rsidR="001C3280">
        <w:rPr>
          <w:rFonts w:cs="Arial"/>
          <w:b/>
          <w:szCs w:val="24"/>
        </w:rPr>
        <w:tab/>
      </w:r>
      <w:r w:rsidR="001C3280">
        <w:rPr>
          <w:rFonts w:cs="Arial"/>
          <w:b/>
          <w:szCs w:val="24"/>
        </w:rPr>
        <w:tab/>
      </w:r>
      <w:r w:rsidR="001C3280">
        <w:rPr>
          <w:rFonts w:cs="Arial"/>
          <w:b/>
          <w:szCs w:val="24"/>
        </w:rPr>
        <w:tab/>
      </w:r>
      <w:r w:rsidR="001C3280">
        <w:rPr>
          <w:rFonts w:cs="Arial"/>
          <w:b/>
          <w:szCs w:val="24"/>
        </w:rPr>
        <w:tab/>
        <w:t>Appointed Counsel</w:t>
      </w:r>
    </w:p>
    <w:p w14:paraId="65C9D3A9" w14:textId="77777777" w:rsidR="001C3280" w:rsidRPr="003D69AE" w:rsidRDefault="001C3280" w:rsidP="002A198A">
      <w:pPr>
        <w:spacing w:after="0" w:line="240" w:lineRule="auto"/>
        <w:rPr>
          <w:rFonts w:cs="Arial"/>
          <w:b/>
          <w:szCs w:val="24"/>
        </w:rPr>
      </w:pPr>
    </w:p>
    <w:p w14:paraId="0AC9D6DC" w14:textId="77777777" w:rsidR="001C3280" w:rsidRPr="009954C1" w:rsidRDefault="001C3280" w:rsidP="002A198A">
      <w:pPr>
        <w:spacing w:after="0" w:line="480" w:lineRule="auto"/>
        <w:rPr>
          <w:rFonts w:cs="Arial"/>
          <w:szCs w:val="24"/>
        </w:rPr>
      </w:pPr>
      <w:r w:rsidRPr="009954C1">
        <w:rPr>
          <w:rFonts w:cs="Arial"/>
          <w:szCs w:val="24"/>
        </w:rPr>
        <w:tab/>
      </w:r>
      <w:r w:rsidRPr="009954C1">
        <w:rPr>
          <w:rFonts w:cs="Arial"/>
          <w:szCs w:val="24"/>
        </w:rPr>
        <w:tab/>
        <w:t xml:space="preserve">To increase the </w:t>
      </w:r>
      <w:r w:rsidR="002B3F0E">
        <w:rPr>
          <w:rFonts w:cs="Arial"/>
          <w:szCs w:val="24"/>
        </w:rPr>
        <w:t>effectiveness</w:t>
      </w:r>
      <w:r w:rsidRPr="009954C1">
        <w:rPr>
          <w:rFonts w:cs="Arial"/>
          <w:szCs w:val="24"/>
        </w:rPr>
        <w:t xml:space="preserve"> of</w:t>
      </w:r>
      <w:r w:rsidR="002B3F0E">
        <w:rPr>
          <w:rFonts w:cs="Arial"/>
          <w:szCs w:val="24"/>
        </w:rPr>
        <w:t xml:space="preserve"> the</w:t>
      </w:r>
      <w:r w:rsidRPr="009954C1">
        <w:rPr>
          <w:rFonts w:cs="Arial"/>
          <w:szCs w:val="24"/>
        </w:rPr>
        <w:t xml:space="preserve"> </w:t>
      </w:r>
      <w:r w:rsidRPr="003D69AE">
        <w:rPr>
          <w:rFonts w:cs="Arial"/>
          <w:i/>
          <w:szCs w:val="24"/>
        </w:rPr>
        <w:t>pro bono</w:t>
      </w:r>
      <w:r w:rsidRPr="009954C1">
        <w:rPr>
          <w:rFonts w:cs="Arial"/>
          <w:szCs w:val="24"/>
        </w:rPr>
        <w:t xml:space="preserve"> representation and </w:t>
      </w:r>
      <w:r>
        <w:rPr>
          <w:rFonts w:cs="Arial"/>
          <w:szCs w:val="24"/>
        </w:rPr>
        <w:t xml:space="preserve">to </w:t>
      </w:r>
      <w:r w:rsidRPr="009954C1">
        <w:rPr>
          <w:rFonts w:cs="Arial"/>
          <w:szCs w:val="24"/>
        </w:rPr>
        <w:t xml:space="preserve">make such appointments less financially onerous on attorneys, </w:t>
      </w:r>
      <w:r w:rsidR="007A6857">
        <w:rPr>
          <w:rFonts w:cs="Arial"/>
          <w:szCs w:val="24"/>
        </w:rPr>
        <w:t xml:space="preserve">the </w:t>
      </w:r>
      <w:r w:rsidR="007A6857" w:rsidRPr="007A6857">
        <w:rPr>
          <w:rFonts w:cs="Arial"/>
          <w:szCs w:val="24"/>
        </w:rPr>
        <w:t>Guidelines</w:t>
      </w:r>
      <w:r w:rsidR="007A6857" w:rsidRPr="007A6857">
        <w:rPr>
          <w:rFonts w:cs="Arial"/>
          <w:b/>
          <w:szCs w:val="24"/>
        </w:rPr>
        <w:t xml:space="preserve"> </w:t>
      </w:r>
      <w:r w:rsidR="007A6857" w:rsidRPr="001D6C88">
        <w:rPr>
          <w:rFonts w:cs="Arial"/>
          <w:szCs w:val="24"/>
        </w:rPr>
        <w:t>are being amended</w:t>
      </w:r>
      <w:r w:rsidR="007A6857">
        <w:rPr>
          <w:rFonts w:cs="Arial"/>
          <w:szCs w:val="24"/>
        </w:rPr>
        <w:t xml:space="preserve"> </w:t>
      </w:r>
      <w:r w:rsidRPr="009954C1">
        <w:rPr>
          <w:rFonts w:cs="Arial"/>
          <w:szCs w:val="24"/>
        </w:rPr>
        <w:t xml:space="preserve">to increase the presumptive cap on reimbursable expenses from $1,800.00 to </w:t>
      </w:r>
      <w:proofErr w:type="gramStart"/>
      <w:r w:rsidRPr="009954C1">
        <w:rPr>
          <w:rFonts w:cs="Arial"/>
          <w:szCs w:val="24"/>
        </w:rPr>
        <w:t>$5,000.00,</w:t>
      </w:r>
      <w:r w:rsidR="001D58CF">
        <w:rPr>
          <w:rFonts w:cs="Arial"/>
          <w:szCs w:val="24"/>
        </w:rPr>
        <w:t xml:space="preserve"> </w:t>
      </w:r>
      <w:r w:rsidRPr="009954C1">
        <w:rPr>
          <w:rFonts w:cs="Arial"/>
          <w:szCs w:val="24"/>
        </w:rPr>
        <w:t>and</w:t>
      </w:r>
      <w:proofErr w:type="gramEnd"/>
      <w:r w:rsidRPr="009954C1">
        <w:rPr>
          <w:rFonts w:cs="Arial"/>
          <w:szCs w:val="24"/>
        </w:rPr>
        <w:t xml:space="preserve"> reduc</w:t>
      </w:r>
      <w:r w:rsidR="00887062">
        <w:rPr>
          <w:rFonts w:cs="Arial"/>
          <w:szCs w:val="24"/>
        </w:rPr>
        <w:t>e</w:t>
      </w:r>
      <w:r w:rsidRPr="009954C1">
        <w:rPr>
          <w:rFonts w:cs="Arial"/>
          <w:szCs w:val="24"/>
        </w:rPr>
        <w:t xml:space="preserve"> the standard for exceeding that threshold from </w:t>
      </w:r>
      <w:r>
        <w:rPr>
          <w:rFonts w:cs="Arial"/>
          <w:szCs w:val="24"/>
        </w:rPr>
        <w:t>“</w:t>
      </w:r>
      <w:r w:rsidRPr="009954C1">
        <w:rPr>
          <w:rFonts w:cs="Arial"/>
          <w:szCs w:val="24"/>
        </w:rPr>
        <w:t>extraordinary circumstances</w:t>
      </w:r>
      <w:r>
        <w:rPr>
          <w:rFonts w:cs="Arial"/>
          <w:szCs w:val="24"/>
        </w:rPr>
        <w:t>”</w:t>
      </w:r>
      <w:r w:rsidRPr="009954C1">
        <w:rPr>
          <w:rFonts w:cs="Arial"/>
          <w:szCs w:val="24"/>
        </w:rPr>
        <w:t xml:space="preserve"> to </w:t>
      </w:r>
      <w:r>
        <w:rPr>
          <w:rFonts w:cs="Arial"/>
          <w:szCs w:val="24"/>
        </w:rPr>
        <w:t>“</w:t>
      </w:r>
      <w:r w:rsidRPr="009954C1">
        <w:rPr>
          <w:rFonts w:cs="Arial"/>
          <w:szCs w:val="24"/>
        </w:rPr>
        <w:t>good cause shown</w:t>
      </w:r>
      <w:r>
        <w:rPr>
          <w:rFonts w:cs="Arial"/>
          <w:szCs w:val="24"/>
        </w:rPr>
        <w:t>”</w:t>
      </w:r>
      <w:r w:rsidRPr="009954C1">
        <w:rPr>
          <w:rFonts w:cs="Arial"/>
          <w:szCs w:val="24"/>
        </w:rPr>
        <w:t xml:space="preserve">.  </w:t>
      </w:r>
      <w:r w:rsidR="002B3F0E">
        <w:rPr>
          <w:rFonts w:cs="Arial"/>
          <w:szCs w:val="24"/>
        </w:rPr>
        <w:t xml:space="preserve">The $5,000.00 presumptive cap is more in line with other comparable districts. </w:t>
      </w:r>
    </w:p>
    <w:p w14:paraId="7C446EF0" w14:textId="77777777" w:rsidR="002A5186" w:rsidRDefault="001C3280" w:rsidP="002A198A">
      <w:pPr>
        <w:spacing w:after="0" w:line="480" w:lineRule="auto"/>
        <w:rPr>
          <w:rFonts w:cs="Arial"/>
          <w:szCs w:val="24"/>
        </w:rPr>
      </w:pPr>
      <w:r w:rsidRPr="009954C1">
        <w:rPr>
          <w:rFonts w:cs="Arial"/>
          <w:szCs w:val="24"/>
        </w:rPr>
        <w:tab/>
      </w:r>
    </w:p>
    <w:p w14:paraId="6860F627" w14:textId="77777777" w:rsidR="002A5186" w:rsidRDefault="002A5186" w:rsidP="002A198A">
      <w:pPr>
        <w:spacing w:after="0" w:line="480" w:lineRule="auto"/>
        <w:rPr>
          <w:rFonts w:cs="Arial"/>
          <w:szCs w:val="24"/>
        </w:rPr>
      </w:pPr>
    </w:p>
    <w:p w14:paraId="6AD037DE" w14:textId="77777777" w:rsidR="00887062" w:rsidRDefault="00887062" w:rsidP="002A198A">
      <w:pPr>
        <w:spacing w:after="0" w:line="480" w:lineRule="auto"/>
        <w:rPr>
          <w:rFonts w:cs="Arial"/>
          <w:szCs w:val="24"/>
        </w:rPr>
      </w:pPr>
    </w:p>
    <w:p w14:paraId="50FC2999" w14:textId="77777777" w:rsidR="00887062" w:rsidRDefault="00887062" w:rsidP="002A198A">
      <w:pPr>
        <w:spacing w:after="0" w:line="480" w:lineRule="auto"/>
        <w:rPr>
          <w:rFonts w:cs="Arial"/>
          <w:szCs w:val="24"/>
        </w:rPr>
      </w:pPr>
    </w:p>
    <w:p w14:paraId="74D4A66D" w14:textId="77777777" w:rsidR="002A198A" w:rsidRDefault="001C3280" w:rsidP="002A198A">
      <w:pPr>
        <w:spacing w:after="0" w:line="480" w:lineRule="auto"/>
        <w:rPr>
          <w:rFonts w:cs="Arial"/>
          <w:szCs w:val="24"/>
        </w:rPr>
      </w:pPr>
      <w:r w:rsidRPr="009954C1">
        <w:rPr>
          <w:rFonts w:cs="Arial"/>
          <w:szCs w:val="24"/>
        </w:rPr>
        <w:tab/>
      </w:r>
    </w:p>
    <w:p w14:paraId="1D018741" w14:textId="77777777" w:rsidR="001C3280" w:rsidRPr="00B147AD" w:rsidRDefault="00754F37" w:rsidP="002A198A">
      <w:pPr>
        <w:spacing w:after="0" w:line="48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3</w:t>
      </w:r>
      <w:r w:rsidR="001C3280" w:rsidRPr="00B147AD">
        <w:rPr>
          <w:rFonts w:cs="Arial"/>
          <w:b/>
          <w:szCs w:val="24"/>
        </w:rPr>
        <w:t>.</w:t>
      </w:r>
      <w:r w:rsidR="001C3280" w:rsidRPr="00B147AD">
        <w:rPr>
          <w:rFonts w:cs="Arial"/>
          <w:b/>
          <w:szCs w:val="24"/>
        </w:rPr>
        <w:tab/>
        <w:t xml:space="preserve"> Fee Increases </w:t>
      </w:r>
    </w:p>
    <w:p w14:paraId="5EAE9291" w14:textId="77777777" w:rsidR="002A198A" w:rsidRDefault="001C3280" w:rsidP="002A198A">
      <w:pPr>
        <w:spacing w:after="0" w:line="480" w:lineRule="auto"/>
        <w:rPr>
          <w:rFonts w:cs="Arial"/>
          <w:szCs w:val="24"/>
        </w:rPr>
      </w:pPr>
      <w:r w:rsidRPr="009954C1">
        <w:rPr>
          <w:rFonts w:cs="Arial"/>
          <w:szCs w:val="24"/>
        </w:rPr>
        <w:tab/>
      </w:r>
      <w:r w:rsidRPr="009954C1">
        <w:rPr>
          <w:rFonts w:cs="Arial"/>
          <w:szCs w:val="24"/>
        </w:rPr>
        <w:tab/>
        <w:t>To fund these initiatives, including the increase to the presumptive cap on reimbursable expenses</w:t>
      </w:r>
      <w:r>
        <w:rPr>
          <w:rFonts w:cs="Arial"/>
          <w:szCs w:val="24"/>
        </w:rPr>
        <w:t xml:space="preserve">, </w:t>
      </w:r>
      <w:r w:rsidRPr="001D6C88">
        <w:rPr>
          <w:rFonts w:cs="Arial"/>
          <w:szCs w:val="24"/>
        </w:rPr>
        <w:t xml:space="preserve">the </w:t>
      </w:r>
      <w:r w:rsidR="00C67050" w:rsidRPr="001D6C88">
        <w:rPr>
          <w:rFonts w:cs="Arial"/>
          <w:szCs w:val="24"/>
        </w:rPr>
        <w:t>C</w:t>
      </w:r>
      <w:r w:rsidR="007A6857" w:rsidRPr="001D6C88">
        <w:rPr>
          <w:rFonts w:cs="Arial"/>
          <w:szCs w:val="24"/>
        </w:rPr>
        <w:t>ourt is enacting</w:t>
      </w:r>
      <w:r w:rsidR="007A6857">
        <w:rPr>
          <w:rFonts w:cs="Arial"/>
          <w:szCs w:val="24"/>
        </w:rPr>
        <w:t xml:space="preserve"> </w:t>
      </w:r>
      <w:r w:rsidRPr="009954C1">
        <w:rPr>
          <w:rFonts w:cs="Arial"/>
          <w:szCs w:val="24"/>
        </w:rPr>
        <w:t xml:space="preserve">modest increases to the attorney ($200.00 to $225.00) and </w:t>
      </w:r>
      <w:r w:rsidRPr="003D69AE">
        <w:rPr>
          <w:rFonts w:cs="Arial"/>
          <w:i/>
          <w:szCs w:val="24"/>
        </w:rPr>
        <w:t xml:space="preserve">pro </w:t>
      </w:r>
      <w:proofErr w:type="spellStart"/>
      <w:r w:rsidRPr="003D69AE">
        <w:rPr>
          <w:rFonts w:cs="Arial"/>
          <w:i/>
          <w:szCs w:val="24"/>
        </w:rPr>
        <w:t>hac</w:t>
      </w:r>
      <w:proofErr w:type="spellEnd"/>
      <w:r w:rsidRPr="003D69AE">
        <w:rPr>
          <w:rFonts w:cs="Arial"/>
          <w:i/>
          <w:szCs w:val="24"/>
        </w:rPr>
        <w:t xml:space="preserve"> vice</w:t>
      </w:r>
      <w:r w:rsidRPr="009954C1">
        <w:rPr>
          <w:rFonts w:cs="Arial"/>
          <w:szCs w:val="24"/>
        </w:rPr>
        <w:t xml:space="preserve"> ($150.00 to $200.00) admission fees, and the imposition of a biennial registration fee of $50.00 for attorneys with offices in the District and $75.00 for attorneys with offices outside of the District</w:t>
      </w:r>
      <w:r>
        <w:rPr>
          <w:rFonts w:cs="Arial"/>
          <w:szCs w:val="24"/>
        </w:rPr>
        <w:t xml:space="preserve">, since those attorneys have no </w:t>
      </w:r>
      <w:r w:rsidRPr="00685341">
        <w:rPr>
          <w:rFonts w:cs="Arial"/>
          <w:i/>
          <w:szCs w:val="24"/>
        </w:rPr>
        <w:t>pro bono</w:t>
      </w:r>
      <w:r>
        <w:rPr>
          <w:rFonts w:cs="Arial"/>
          <w:szCs w:val="24"/>
        </w:rPr>
        <w:t xml:space="preserve"> obligation under the proposed Local Rule.  </w:t>
      </w:r>
      <w:r w:rsidR="007A6857">
        <w:rPr>
          <w:rFonts w:cs="Arial"/>
          <w:szCs w:val="24"/>
        </w:rPr>
        <w:t>The</w:t>
      </w:r>
      <w:r w:rsidRPr="009954C1">
        <w:rPr>
          <w:rFonts w:cs="Arial"/>
          <w:szCs w:val="24"/>
        </w:rPr>
        <w:t xml:space="preserve"> collection of t</w:t>
      </w:r>
      <w:r>
        <w:rPr>
          <w:rFonts w:cs="Arial"/>
          <w:szCs w:val="24"/>
        </w:rPr>
        <w:t xml:space="preserve">he </w:t>
      </w:r>
      <w:r w:rsidRPr="009954C1">
        <w:rPr>
          <w:rFonts w:cs="Arial"/>
          <w:szCs w:val="24"/>
        </w:rPr>
        <w:t xml:space="preserve">biennial fee </w:t>
      </w:r>
      <w:r w:rsidR="00887062" w:rsidRPr="001D6C88">
        <w:rPr>
          <w:rFonts w:cs="Arial"/>
          <w:szCs w:val="24"/>
        </w:rPr>
        <w:t>will be</w:t>
      </w:r>
      <w:r w:rsidR="007A6857" w:rsidRPr="001D6C88">
        <w:rPr>
          <w:rFonts w:cs="Arial"/>
          <w:szCs w:val="24"/>
        </w:rPr>
        <w:t xml:space="preserve"> deferred until</w:t>
      </w:r>
      <w:r w:rsidRPr="001D6C88">
        <w:rPr>
          <w:rFonts w:cs="Arial"/>
          <w:szCs w:val="24"/>
        </w:rPr>
        <w:t xml:space="preserve"> the court has an opportunity to gauge the impact </w:t>
      </w:r>
      <w:r w:rsidR="004E4DBD" w:rsidRPr="001D6C88">
        <w:rPr>
          <w:rFonts w:cs="Arial"/>
          <w:szCs w:val="24"/>
        </w:rPr>
        <w:t xml:space="preserve">on the District Court Fund </w:t>
      </w:r>
      <w:r w:rsidRPr="001D6C88">
        <w:rPr>
          <w:rFonts w:cs="Arial"/>
          <w:szCs w:val="24"/>
        </w:rPr>
        <w:t>of the increased presumptive cap on reimbursable expenses and anticipated increase in appointments</w:t>
      </w:r>
      <w:r w:rsidRPr="00A300D1">
        <w:rPr>
          <w:rFonts w:cs="Arial"/>
          <w:b/>
          <w:szCs w:val="24"/>
        </w:rPr>
        <w:t>.</w:t>
      </w:r>
      <w:r w:rsidRPr="009954C1">
        <w:rPr>
          <w:rFonts w:cs="Arial"/>
          <w:szCs w:val="24"/>
        </w:rPr>
        <w:tab/>
      </w:r>
      <w:r w:rsidRPr="009954C1">
        <w:rPr>
          <w:rFonts w:cs="Arial"/>
          <w:szCs w:val="24"/>
        </w:rPr>
        <w:tab/>
      </w:r>
    </w:p>
    <w:p w14:paraId="6A39A93A" w14:textId="77777777" w:rsidR="008B7ED8" w:rsidRDefault="001C3280" w:rsidP="002A198A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11E0D22" w14:textId="77777777" w:rsidR="000C3796" w:rsidRPr="002A5186" w:rsidRDefault="002A198A" w:rsidP="002A198A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A5186">
        <w:rPr>
          <w:rFonts w:cs="Arial"/>
          <w:b/>
          <w:sz w:val="28"/>
          <w:szCs w:val="28"/>
        </w:rPr>
        <w:t xml:space="preserve">Proposed Amendments to the </w:t>
      </w:r>
      <w:r w:rsidR="000C3796" w:rsidRPr="002A5186">
        <w:rPr>
          <w:rFonts w:cs="Arial"/>
          <w:b/>
          <w:sz w:val="28"/>
          <w:szCs w:val="28"/>
        </w:rPr>
        <w:t>Local Rules of Civil Procedure</w:t>
      </w:r>
    </w:p>
    <w:p w14:paraId="38EA9CE1" w14:textId="77777777" w:rsidR="00954426" w:rsidRPr="002A198A" w:rsidRDefault="00954426" w:rsidP="002A198A">
      <w:pPr>
        <w:spacing w:after="0" w:line="240" w:lineRule="auto"/>
        <w:jc w:val="center"/>
        <w:rPr>
          <w:rFonts w:cs="Arial"/>
          <w:b/>
          <w:szCs w:val="24"/>
        </w:rPr>
      </w:pPr>
    </w:p>
    <w:p w14:paraId="1B91412D" w14:textId="77777777" w:rsidR="002A198A" w:rsidRPr="00954426" w:rsidRDefault="000C3796" w:rsidP="00954426">
      <w:pPr>
        <w:pStyle w:val="ListParagraph"/>
        <w:numPr>
          <w:ilvl w:val="0"/>
          <w:numId w:val="5"/>
        </w:numPr>
        <w:spacing w:after="0" w:line="480" w:lineRule="auto"/>
        <w:ind w:left="720" w:hanging="720"/>
        <w:rPr>
          <w:rFonts w:cs="Arial"/>
          <w:szCs w:val="24"/>
        </w:rPr>
      </w:pPr>
      <w:r w:rsidRPr="002A198A">
        <w:rPr>
          <w:rFonts w:cs="Arial"/>
          <w:b/>
          <w:szCs w:val="24"/>
        </w:rPr>
        <w:t>L</w:t>
      </w:r>
      <w:r w:rsidR="00954426">
        <w:rPr>
          <w:rFonts w:cs="Arial"/>
          <w:b/>
          <w:szCs w:val="24"/>
        </w:rPr>
        <w:t>.</w:t>
      </w:r>
      <w:r w:rsidRPr="002A198A">
        <w:rPr>
          <w:rFonts w:cs="Arial"/>
          <w:b/>
          <w:szCs w:val="24"/>
        </w:rPr>
        <w:t>R</w:t>
      </w:r>
      <w:r w:rsidR="00954426">
        <w:rPr>
          <w:rFonts w:cs="Arial"/>
          <w:b/>
          <w:szCs w:val="24"/>
        </w:rPr>
        <w:t>.</w:t>
      </w:r>
      <w:r w:rsidRPr="002A198A">
        <w:rPr>
          <w:rFonts w:cs="Arial"/>
          <w:b/>
          <w:szCs w:val="24"/>
        </w:rPr>
        <w:t xml:space="preserve"> Civ. P.  5.5 (</w:t>
      </w:r>
      <w:r w:rsidR="001A0DEE">
        <w:rPr>
          <w:rFonts w:cs="Arial"/>
          <w:b/>
          <w:szCs w:val="24"/>
        </w:rPr>
        <w:t>p</w:t>
      </w:r>
      <w:r w:rsidRPr="002A198A">
        <w:rPr>
          <w:rFonts w:cs="Arial"/>
          <w:b/>
          <w:szCs w:val="24"/>
        </w:rPr>
        <w:t xml:space="preserve">rocedures in Social Security </w:t>
      </w:r>
      <w:r w:rsidR="001A0DEE">
        <w:rPr>
          <w:rFonts w:cs="Arial"/>
          <w:b/>
          <w:szCs w:val="24"/>
        </w:rPr>
        <w:t>c</w:t>
      </w:r>
      <w:r w:rsidRPr="002A198A">
        <w:rPr>
          <w:rFonts w:cs="Arial"/>
          <w:b/>
          <w:szCs w:val="24"/>
        </w:rPr>
        <w:t>ases)</w:t>
      </w:r>
      <w:r w:rsidRPr="002A198A">
        <w:rPr>
          <w:rFonts w:cs="Arial"/>
          <w:szCs w:val="24"/>
        </w:rPr>
        <w:t xml:space="preserve"> </w:t>
      </w:r>
      <w:r w:rsidR="002A198A" w:rsidRPr="002A198A">
        <w:rPr>
          <w:rFonts w:cs="Arial"/>
          <w:szCs w:val="24"/>
        </w:rPr>
        <w:t>-</w:t>
      </w:r>
      <w:r w:rsidR="00AF4590" w:rsidRPr="002A198A">
        <w:rPr>
          <w:rFonts w:cs="Arial"/>
          <w:szCs w:val="24"/>
        </w:rPr>
        <w:t>The proposed amendments</w:t>
      </w:r>
      <w:r w:rsidR="00954426">
        <w:rPr>
          <w:rFonts w:cs="Arial"/>
          <w:szCs w:val="24"/>
        </w:rPr>
        <w:t xml:space="preserve"> </w:t>
      </w:r>
      <w:r w:rsidR="00AF4590" w:rsidRPr="00954426">
        <w:rPr>
          <w:rFonts w:cs="Arial"/>
          <w:szCs w:val="24"/>
        </w:rPr>
        <w:t xml:space="preserve">are </w:t>
      </w:r>
    </w:p>
    <w:p w14:paraId="2E7E223B" w14:textId="77777777" w:rsidR="00FA7BDF" w:rsidRPr="002A198A" w:rsidRDefault="00AF4590" w:rsidP="002A198A">
      <w:pPr>
        <w:pStyle w:val="ListParagraph"/>
        <w:spacing w:after="0" w:line="480" w:lineRule="auto"/>
        <w:ind w:left="0"/>
        <w:rPr>
          <w:rFonts w:cs="Arial"/>
          <w:szCs w:val="24"/>
        </w:rPr>
      </w:pPr>
      <w:r w:rsidRPr="002A198A">
        <w:rPr>
          <w:rFonts w:cs="Arial"/>
          <w:szCs w:val="24"/>
        </w:rPr>
        <w:t xml:space="preserve">intended to address </w:t>
      </w:r>
      <w:r w:rsidR="002C082B" w:rsidRPr="002A198A">
        <w:rPr>
          <w:rFonts w:cs="Arial"/>
          <w:szCs w:val="24"/>
        </w:rPr>
        <w:t>recent case la</w:t>
      </w:r>
      <w:r w:rsidRPr="002A198A">
        <w:rPr>
          <w:rFonts w:cs="Arial"/>
          <w:szCs w:val="24"/>
        </w:rPr>
        <w:t xml:space="preserve">w developments impacting </w:t>
      </w:r>
      <w:r w:rsidR="002C082B" w:rsidRPr="002A198A">
        <w:rPr>
          <w:rFonts w:cs="Arial"/>
          <w:szCs w:val="24"/>
        </w:rPr>
        <w:t>petitions for attorneys</w:t>
      </w:r>
      <w:r w:rsidR="00887062">
        <w:rPr>
          <w:rFonts w:cs="Arial"/>
          <w:szCs w:val="24"/>
        </w:rPr>
        <w:t>’</w:t>
      </w:r>
      <w:r w:rsidR="002C082B" w:rsidRPr="002A198A">
        <w:rPr>
          <w:rFonts w:cs="Arial"/>
          <w:szCs w:val="24"/>
        </w:rPr>
        <w:t xml:space="preserve"> fees under 42 U.S.C. §406(b</w:t>
      </w:r>
      <w:r w:rsidR="003946BC" w:rsidRPr="002A198A">
        <w:rPr>
          <w:rFonts w:cs="Arial"/>
          <w:szCs w:val="24"/>
        </w:rPr>
        <w:t xml:space="preserve">).  Specifically, </w:t>
      </w:r>
      <w:r w:rsidR="00DA24C9" w:rsidRPr="002A198A">
        <w:rPr>
          <w:rFonts w:cs="Arial"/>
          <w:szCs w:val="24"/>
        </w:rPr>
        <w:t xml:space="preserve">as a result of </w:t>
      </w:r>
      <w:proofErr w:type="spellStart"/>
      <w:r w:rsidR="002C082B" w:rsidRPr="002A198A">
        <w:rPr>
          <w:rFonts w:cs="Arial"/>
          <w:szCs w:val="24"/>
          <w:u w:val="single"/>
        </w:rPr>
        <w:t>Sinkler</w:t>
      </w:r>
      <w:proofErr w:type="spellEnd"/>
      <w:r w:rsidR="002C082B" w:rsidRPr="002A198A">
        <w:rPr>
          <w:rFonts w:cs="Arial"/>
          <w:szCs w:val="24"/>
          <w:u w:val="single"/>
        </w:rPr>
        <w:t xml:space="preserve"> v. Berryhill</w:t>
      </w:r>
      <w:r w:rsidR="002C082B" w:rsidRPr="002A198A">
        <w:rPr>
          <w:rFonts w:cs="Arial"/>
          <w:szCs w:val="24"/>
        </w:rPr>
        <w:t xml:space="preserve">, 932 F.3d 83, 91 (2d Cir. 2019), </w:t>
      </w:r>
      <w:r w:rsidR="00957B31">
        <w:rPr>
          <w:rFonts w:cs="Arial"/>
          <w:szCs w:val="24"/>
        </w:rPr>
        <w:t xml:space="preserve">the proposal applies </w:t>
      </w:r>
      <w:r w:rsidR="002C082B" w:rsidRPr="002A198A">
        <w:rPr>
          <w:rFonts w:cs="Arial"/>
          <w:szCs w:val="24"/>
        </w:rPr>
        <w:t xml:space="preserve">the </w:t>
      </w:r>
      <w:r w:rsidR="00095775">
        <w:rPr>
          <w:rFonts w:cs="Arial"/>
          <w:szCs w:val="24"/>
        </w:rPr>
        <w:t>deadline of Fed. R. Civ. P. 54(d)(2)(B)</w:t>
      </w:r>
      <w:r w:rsidR="00957B31">
        <w:rPr>
          <w:rFonts w:cs="Arial"/>
          <w:szCs w:val="24"/>
        </w:rPr>
        <w:t xml:space="preserve"> to </w:t>
      </w:r>
      <w:r w:rsidR="00E646C9" w:rsidRPr="002A198A">
        <w:rPr>
          <w:rFonts w:cs="Arial"/>
          <w:szCs w:val="24"/>
        </w:rPr>
        <w:t xml:space="preserve">such petitions, and as a result of </w:t>
      </w:r>
      <w:r w:rsidR="002C082B" w:rsidRPr="002A198A">
        <w:rPr>
          <w:rFonts w:cs="Arial"/>
          <w:szCs w:val="24"/>
          <w:u w:val="single"/>
        </w:rPr>
        <w:t>Culbertson v. Berryhill</w:t>
      </w:r>
      <w:r w:rsidR="002C082B" w:rsidRPr="002A198A">
        <w:rPr>
          <w:rFonts w:cs="Arial"/>
          <w:szCs w:val="24"/>
        </w:rPr>
        <w:t>, ___ U.S.___, 139 S. Ct. 517 (2019), the propos</w:t>
      </w:r>
      <w:r w:rsidR="00E646C9" w:rsidRPr="002A198A">
        <w:rPr>
          <w:rFonts w:cs="Arial"/>
          <w:szCs w:val="24"/>
        </w:rPr>
        <w:t xml:space="preserve">al </w:t>
      </w:r>
      <w:r w:rsidR="002C082B" w:rsidRPr="002A198A">
        <w:rPr>
          <w:rFonts w:cs="Arial"/>
          <w:szCs w:val="24"/>
        </w:rPr>
        <w:t>eliminat</w:t>
      </w:r>
      <w:r w:rsidR="00E646C9" w:rsidRPr="002A198A">
        <w:rPr>
          <w:rFonts w:cs="Arial"/>
          <w:szCs w:val="24"/>
        </w:rPr>
        <w:t>es</w:t>
      </w:r>
      <w:r w:rsidR="002C082B" w:rsidRPr="002A198A">
        <w:rPr>
          <w:rFonts w:cs="Arial"/>
          <w:szCs w:val="24"/>
        </w:rPr>
        <w:t xml:space="preserve"> L</w:t>
      </w:r>
      <w:r w:rsidR="00611941">
        <w:rPr>
          <w:rFonts w:cs="Arial"/>
          <w:szCs w:val="24"/>
        </w:rPr>
        <w:t>.</w:t>
      </w:r>
      <w:r w:rsidR="002C082B" w:rsidRPr="002A198A">
        <w:rPr>
          <w:rFonts w:cs="Arial"/>
          <w:szCs w:val="24"/>
        </w:rPr>
        <w:t>R</w:t>
      </w:r>
      <w:r w:rsidR="00611941">
        <w:rPr>
          <w:rFonts w:cs="Arial"/>
          <w:szCs w:val="24"/>
        </w:rPr>
        <w:t>.</w:t>
      </w:r>
      <w:r w:rsidR="002C082B" w:rsidRPr="002A198A">
        <w:rPr>
          <w:rFonts w:cs="Arial"/>
          <w:szCs w:val="24"/>
        </w:rPr>
        <w:t xml:space="preserve"> Civ. P. 5.5(g)(3)(D)(</w:t>
      </w:r>
      <w:proofErr w:type="spellStart"/>
      <w:r w:rsidR="002C082B" w:rsidRPr="002A198A">
        <w:rPr>
          <w:rFonts w:cs="Arial"/>
          <w:szCs w:val="24"/>
        </w:rPr>
        <w:t>i</w:t>
      </w:r>
      <w:proofErr w:type="spellEnd"/>
      <w:r w:rsidR="002C082B" w:rsidRPr="002A198A">
        <w:rPr>
          <w:rFonts w:cs="Arial"/>
          <w:szCs w:val="24"/>
        </w:rPr>
        <w:t xml:space="preserve">) and (ii), which currently require an attorney to disclose whether §406(a) fees have been sought. </w:t>
      </w:r>
    </w:p>
    <w:p w14:paraId="37F404D4" w14:textId="77777777" w:rsidR="00FA7BDF" w:rsidRDefault="00FA7BDF" w:rsidP="002A198A">
      <w:pPr>
        <w:spacing w:after="0" w:line="240" w:lineRule="auto"/>
        <w:rPr>
          <w:rFonts w:cs="Arial"/>
          <w:szCs w:val="24"/>
        </w:rPr>
      </w:pPr>
    </w:p>
    <w:p w14:paraId="276A193A" w14:textId="77777777" w:rsidR="005056D4" w:rsidRDefault="00E646C9" w:rsidP="005056D4">
      <w:pPr>
        <w:pStyle w:val="ListParagraph"/>
        <w:numPr>
          <w:ilvl w:val="0"/>
          <w:numId w:val="5"/>
        </w:numPr>
        <w:spacing w:after="0" w:line="480" w:lineRule="auto"/>
        <w:ind w:left="0" w:firstLine="0"/>
        <w:rPr>
          <w:rFonts w:cs="Arial"/>
          <w:szCs w:val="24"/>
        </w:rPr>
      </w:pPr>
      <w:r w:rsidRPr="005056D4">
        <w:rPr>
          <w:rFonts w:cs="Arial"/>
          <w:b/>
          <w:szCs w:val="24"/>
        </w:rPr>
        <w:t>L</w:t>
      </w:r>
      <w:r w:rsidR="00954426">
        <w:rPr>
          <w:rFonts w:cs="Arial"/>
          <w:b/>
          <w:szCs w:val="24"/>
        </w:rPr>
        <w:t>.</w:t>
      </w:r>
      <w:r w:rsidRPr="005056D4">
        <w:rPr>
          <w:rFonts w:cs="Arial"/>
          <w:b/>
          <w:szCs w:val="24"/>
        </w:rPr>
        <w:t>R</w:t>
      </w:r>
      <w:r w:rsidR="00954426">
        <w:rPr>
          <w:rFonts w:cs="Arial"/>
          <w:b/>
          <w:szCs w:val="24"/>
        </w:rPr>
        <w:t>.</w:t>
      </w:r>
      <w:r w:rsidRPr="005056D4">
        <w:rPr>
          <w:rFonts w:cs="Arial"/>
          <w:b/>
          <w:szCs w:val="24"/>
        </w:rPr>
        <w:t xml:space="preserve"> Civ. P. 83.1 (attorney admission)</w:t>
      </w:r>
      <w:r w:rsidRPr="005056D4">
        <w:rPr>
          <w:rFonts w:cs="Arial"/>
          <w:szCs w:val="24"/>
        </w:rPr>
        <w:t xml:space="preserve"> - To better align the admission practices of this </w:t>
      </w:r>
      <w:r w:rsidR="00A300D1">
        <w:rPr>
          <w:rFonts w:cs="Arial"/>
          <w:szCs w:val="24"/>
        </w:rPr>
        <w:t>C</w:t>
      </w:r>
      <w:r w:rsidRPr="005056D4">
        <w:rPr>
          <w:rFonts w:cs="Arial"/>
          <w:szCs w:val="24"/>
        </w:rPr>
        <w:t xml:space="preserve">ourt with the practices of other courts, the proposed amendment requires a personal appearance for all admissions, other than </w:t>
      </w:r>
      <w:r w:rsidRPr="005056D4">
        <w:rPr>
          <w:rFonts w:cs="Arial"/>
          <w:i/>
          <w:szCs w:val="24"/>
        </w:rPr>
        <w:t xml:space="preserve">pro </w:t>
      </w:r>
      <w:proofErr w:type="spellStart"/>
      <w:r w:rsidRPr="005056D4">
        <w:rPr>
          <w:rFonts w:cs="Arial"/>
          <w:i/>
          <w:szCs w:val="24"/>
        </w:rPr>
        <w:t>hac</w:t>
      </w:r>
      <w:proofErr w:type="spellEnd"/>
      <w:r w:rsidRPr="005056D4">
        <w:rPr>
          <w:rFonts w:cs="Arial"/>
          <w:i/>
          <w:szCs w:val="24"/>
        </w:rPr>
        <w:t xml:space="preserve"> vice</w:t>
      </w:r>
      <w:r w:rsidRPr="005056D4">
        <w:rPr>
          <w:rFonts w:cs="Arial"/>
          <w:szCs w:val="24"/>
        </w:rPr>
        <w:t xml:space="preserve">.  Additionally, the proposed amendment addresses several </w:t>
      </w:r>
      <w:r w:rsidR="00A300D1">
        <w:rPr>
          <w:rFonts w:cs="Arial"/>
          <w:szCs w:val="24"/>
        </w:rPr>
        <w:t xml:space="preserve">non-substantive </w:t>
      </w:r>
      <w:r w:rsidRPr="005056D4">
        <w:rPr>
          <w:rFonts w:cs="Arial"/>
          <w:szCs w:val="24"/>
        </w:rPr>
        <w:t xml:space="preserve">changes to the admission forms used by the Clerk’s Office.  </w:t>
      </w:r>
    </w:p>
    <w:p w14:paraId="2C56823D" w14:textId="77777777" w:rsidR="005056D4" w:rsidRPr="005056D4" w:rsidRDefault="005056D4" w:rsidP="005056D4">
      <w:pPr>
        <w:pStyle w:val="ListParagraph"/>
        <w:spacing w:after="0" w:line="480" w:lineRule="auto"/>
        <w:rPr>
          <w:rFonts w:cs="Arial"/>
          <w:szCs w:val="24"/>
        </w:rPr>
      </w:pPr>
    </w:p>
    <w:p w14:paraId="0DCF3288" w14:textId="77777777" w:rsidR="00E646C9" w:rsidRDefault="002A198A" w:rsidP="002A198A">
      <w:pPr>
        <w:spacing w:after="0" w:line="48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3. </w:t>
      </w:r>
      <w:r w:rsidR="00E646C9" w:rsidRPr="00B147AD">
        <w:rPr>
          <w:rFonts w:cs="Arial"/>
          <w:b/>
          <w:szCs w:val="24"/>
        </w:rPr>
        <w:tab/>
        <w:t>L</w:t>
      </w:r>
      <w:r w:rsidR="00954426">
        <w:rPr>
          <w:rFonts w:cs="Arial"/>
          <w:b/>
          <w:szCs w:val="24"/>
        </w:rPr>
        <w:t>.</w:t>
      </w:r>
      <w:r w:rsidR="00E646C9" w:rsidRPr="00B147AD">
        <w:rPr>
          <w:rFonts w:cs="Arial"/>
          <w:b/>
          <w:szCs w:val="24"/>
        </w:rPr>
        <w:t>R</w:t>
      </w:r>
      <w:r w:rsidR="00954426">
        <w:rPr>
          <w:rFonts w:cs="Arial"/>
          <w:b/>
          <w:szCs w:val="24"/>
        </w:rPr>
        <w:t>.</w:t>
      </w:r>
      <w:r w:rsidR="00E646C9" w:rsidRPr="00B147AD">
        <w:rPr>
          <w:rFonts w:cs="Arial"/>
          <w:b/>
          <w:szCs w:val="24"/>
        </w:rPr>
        <w:t xml:space="preserve"> Civ. P. 83.2(c) and (d) (attorney withdrawal and substitution)</w:t>
      </w:r>
      <w:r w:rsidR="00E646C9" w:rsidRPr="009954C1">
        <w:rPr>
          <w:rFonts w:cs="Arial"/>
          <w:szCs w:val="24"/>
        </w:rPr>
        <w:t xml:space="preserve"> </w:t>
      </w:r>
      <w:r w:rsidR="00A300D1">
        <w:rPr>
          <w:rFonts w:cs="Arial"/>
          <w:szCs w:val="24"/>
        </w:rPr>
        <w:t>-</w:t>
      </w:r>
      <w:r w:rsidR="00236DFA">
        <w:rPr>
          <w:rFonts w:cs="Arial"/>
          <w:szCs w:val="24"/>
        </w:rPr>
        <w:t xml:space="preserve"> </w:t>
      </w:r>
      <w:r w:rsidR="00A300D1">
        <w:rPr>
          <w:rFonts w:cs="Arial"/>
          <w:szCs w:val="24"/>
        </w:rPr>
        <w:t>Consistent with the practice of many other courts, t</w:t>
      </w:r>
      <w:r w:rsidR="00236DFA">
        <w:rPr>
          <w:rFonts w:cs="Arial"/>
          <w:szCs w:val="24"/>
        </w:rPr>
        <w:t xml:space="preserve">he proposal limits the instances where counsel may withdraw or substitute </w:t>
      </w:r>
      <w:r w:rsidR="001C3280">
        <w:rPr>
          <w:rFonts w:cs="Arial"/>
          <w:szCs w:val="24"/>
        </w:rPr>
        <w:t xml:space="preserve">without </w:t>
      </w:r>
      <w:r w:rsidR="00E34F31">
        <w:rPr>
          <w:rFonts w:cs="Arial"/>
          <w:szCs w:val="24"/>
        </w:rPr>
        <w:t>C</w:t>
      </w:r>
      <w:r w:rsidR="001C3280">
        <w:rPr>
          <w:rFonts w:cs="Arial"/>
          <w:szCs w:val="24"/>
        </w:rPr>
        <w:t xml:space="preserve">ourt approval, </w:t>
      </w:r>
      <w:r w:rsidR="00E646C9">
        <w:rPr>
          <w:rFonts w:cs="Arial"/>
          <w:szCs w:val="24"/>
        </w:rPr>
        <w:t xml:space="preserve">especially where it may impact scheduled proceedings. </w:t>
      </w:r>
      <w:r w:rsidR="00E646C9" w:rsidRPr="009954C1">
        <w:rPr>
          <w:rFonts w:cs="Arial"/>
          <w:szCs w:val="24"/>
        </w:rPr>
        <w:t xml:space="preserve"> Under the</w:t>
      </w:r>
      <w:r w:rsidR="00E646C9">
        <w:rPr>
          <w:rFonts w:cs="Arial"/>
          <w:szCs w:val="24"/>
        </w:rPr>
        <w:t xml:space="preserve"> </w:t>
      </w:r>
      <w:r w:rsidR="00E646C9" w:rsidRPr="009954C1">
        <w:rPr>
          <w:rFonts w:cs="Arial"/>
          <w:szCs w:val="24"/>
        </w:rPr>
        <w:t xml:space="preserve">proposal, a stipulation will suffice only where </w:t>
      </w:r>
      <w:r w:rsidR="00E646C9">
        <w:rPr>
          <w:rFonts w:cs="Arial"/>
          <w:szCs w:val="24"/>
        </w:rPr>
        <w:t xml:space="preserve">counsel can certify that </w:t>
      </w:r>
      <w:r w:rsidR="00E646C9" w:rsidRPr="009954C1">
        <w:rPr>
          <w:rFonts w:cs="Arial"/>
          <w:szCs w:val="24"/>
        </w:rPr>
        <w:t>a successor attorney has or will simultaneously file a notice of appearance, no evidentiary hearing or trial date has been scheduled, and the</w:t>
      </w:r>
      <w:r w:rsidR="00E646C9">
        <w:rPr>
          <w:rFonts w:cs="Arial"/>
          <w:szCs w:val="24"/>
        </w:rPr>
        <w:t xml:space="preserve"> </w:t>
      </w:r>
      <w:r w:rsidR="00E646C9" w:rsidRPr="009954C1">
        <w:rPr>
          <w:rFonts w:cs="Arial"/>
          <w:szCs w:val="24"/>
        </w:rPr>
        <w:t xml:space="preserve">withdrawal/substitution will not cause delay or require amendment of case management order deadlines.  </w:t>
      </w:r>
    </w:p>
    <w:p w14:paraId="60D2531C" w14:textId="77777777" w:rsidR="00C67050" w:rsidRPr="009954C1" w:rsidRDefault="00C67050" w:rsidP="002A198A">
      <w:pPr>
        <w:spacing w:after="0" w:line="480" w:lineRule="auto"/>
        <w:rPr>
          <w:rFonts w:cs="Arial"/>
          <w:szCs w:val="24"/>
        </w:rPr>
      </w:pPr>
    </w:p>
    <w:p w14:paraId="7FCB52DA" w14:textId="77777777" w:rsidR="00954426" w:rsidRPr="002A5186" w:rsidRDefault="005056D4" w:rsidP="002A5186">
      <w:pPr>
        <w:spacing w:after="0" w:line="480" w:lineRule="auto"/>
        <w:jc w:val="center"/>
        <w:rPr>
          <w:rFonts w:cs="Arial"/>
          <w:b/>
          <w:sz w:val="28"/>
          <w:szCs w:val="28"/>
        </w:rPr>
      </w:pPr>
      <w:r w:rsidRPr="002A5186">
        <w:rPr>
          <w:rFonts w:cs="Arial"/>
          <w:b/>
          <w:sz w:val="28"/>
          <w:szCs w:val="28"/>
        </w:rPr>
        <w:t>Proposed Amendments to the Local Rules of Criminal Procedure</w:t>
      </w:r>
    </w:p>
    <w:p w14:paraId="363674CD" w14:textId="77777777" w:rsidR="00FB4469" w:rsidRPr="00FB4469" w:rsidRDefault="00FB4469" w:rsidP="00954426">
      <w:pPr>
        <w:pStyle w:val="ListParagraph"/>
        <w:numPr>
          <w:ilvl w:val="0"/>
          <w:numId w:val="8"/>
        </w:numPr>
        <w:spacing w:after="0" w:line="480" w:lineRule="auto"/>
        <w:ind w:left="720" w:hanging="720"/>
        <w:rPr>
          <w:rFonts w:cs="Arial"/>
          <w:szCs w:val="24"/>
        </w:rPr>
      </w:pPr>
      <w:r w:rsidRPr="00971689">
        <w:rPr>
          <w:rFonts w:cs="Arial"/>
          <w:b/>
          <w:szCs w:val="24"/>
        </w:rPr>
        <w:t>L</w:t>
      </w:r>
      <w:r w:rsidR="00954426">
        <w:rPr>
          <w:rFonts w:cs="Arial"/>
          <w:b/>
          <w:szCs w:val="24"/>
        </w:rPr>
        <w:t>.</w:t>
      </w:r>
      <w:r w:rsidRPr="00971689">
        <w:rPr>
          <w:rFonts w:cs="Arial"/>
          <w:b/>
          <w:szCs w:val="24"/>
        </w:rPr>
        <w:t>R</w:t>
      </w:r>
      <w:r w:rsidR="00954426">
        <w:rPr>
          <w:rFonts w:cs="Arial"/>
          <w:b/>
          <w:szCs w:val="24"/>
        </w:rPr>
        <w:t>.</w:t>
      </w:r>
      <w:r w:rsidRPr="00FB4469">
        <w:rPr>
          <w:rFonts w:cs="Arial"/>
          <w:b/>
          <w:szCs w:val="24"/>
        </w:rPr>
        <w:t xml:space="preserve"> Crim. P. 32 (presentence report) </w:t>
      </w:r>
      <w:r w:rsidRPr="00FB4469">
        <w:rPr>
          <w:rFonts w:cs="Arial"/>
          <w:szCs w:val="24"/>
        </w:rPr>
        <w:t xml:space="preserve">- Triggered by the recent opinion in </w:t>
      </w:r>
      <w:r w:rsidRPr="00FB4469">
        <w:rPr>
          <w:rFonts w:cs="Arial"/>
          <w:szCs w:val="24"/>
          <w:u w:val="single"/>
        </w:rPr>
        <w:t xml:space="preserve">United </w:t>
      </w:r>
    </w:p>
    <w:p w14:paraId="622B9CD6" w14:textId="77777777" w:rsidR="00FB4469" w:rsidRDefault="00FB4469" w:rsidP="00FB4469">
      <w:pPr>
        <w:pStyle w:val="ListParagraph"/>
        <w:spacing w:after="0" w:line="480" w:lineRule="auto"/>
        <w:ind w:left="0"/>
        <w:rPr>
          <w:rFonts w:cs="Arial"/>
          <w:szCs w:val="24"/>
        </w:rPr>
      </w:pPr>
      <w:r w:rsidRPr="00FB4469">
        <w:rPr>
          <w:rFonts w:cs="Arial"/>
          <w:szCs w:val="24"/>
          <w:u w:val="single"/>
        </w:rPr>
        <w:t xml:space="preserve">States v. </w:t>
      </w:r>
      <w:proofErr w:type="spellStart"/>
      <w:r w:rsidRPr="00FB4469">
        <w:rPr>
          <w:rFonts w:cs="Arial"/>
          <w:szCs w:val="24"/>
          <w:u w:val="single"/>
        </w:rPr>
        <w:t>McIlwain</w:t>
      </w:r>
      <w:proofErr w:type="spellEnd"/>
      <w:r w:rsidRPr="00FB4469">
        <w:rPr>
          <w:rFonts w:cs="Arial"/>
          <w:szCs w:val="24"/>
        </w:rPr>
        <w:t xml:space="preserve">, 931 F.3d 1176 (D.C. Cir. 2019) and consistent with current practice, the proposed amendment prohibits the disclosure of the </w:t>
      </w:r>
      <w:r w:rsidR="00971689">
        <w:rPr>
          <w:rFonts w:cs="Arial"/>
          <w:szCs w:val="24"/>
        </w:rPr>
        <w:t xml:space="preserve">United States Probation Office’s </w:t>
      </w:r>
      <w:r w:rsidRPr="00FB4469">
        <w:rPr>
          <w:rFonts w:cs="Arial"/>
          <w:szCs w:val="24"/>
        </w:rPr>
        <w:t>sentencing recommendation</w:t>
      </w:r>
      <w:r w:rsidR="00971689">
        <w:rPr>
          <w:rFonts w:cs="Arial"/>
          <w:szCs w:val="24"/>
        </w:rPr>
        <w:t xml:space="preserve"> </w:t>
      </w:r>
      <w:r w:rsidRPr="00FB4469">
        <w:rPr>
          <w:rFonts w:cs="Arial"/>
          <w:szCs w:val="24"/>
        </w:rPr>
        <w:t>to the parties unless authorized by the sentencing judge.</w:t>
      </w:r>
    </w:p>
    <w:p w14:paraId="3E2C98B5" w14:textId="77777777" w:rsidR="00971689" w:rsidRPr="00FB4469" w:rsidRDefault="00971689" w:rsidP="00FB4469">
      <w:pPr>
        <w:pStyle w:val="ListParagraph"/>
        <w:spacing w:after="0" w:line="480" w:lineRule="auto"/>
        <w:ind w:left="0"/>
        <w:rPr>
          <w:rFonts w:cs="Arial"/>
          <w:szCs w:val="24"/>
        </w:rPr>
      </w:pPr>
    </w:p>
    <w:p w14:paraId="4FEB1EDC" w14:textId="77777777" w:rsidR="001C3280" w:rsidRPr="00954426" w:rsidRDefault="001C3280" w:rsidP="00954426">
      <w:pPr>
        <w:pStyle w:val="ListParagraph"/>
        <w:numPr>
          <w:ilvl w:val="0"/>
          <w:numId w:val="8"/>
        </w:numPr>
        <w:spacing w:after="0" w:line="480" w:lineRule="auto"/>
        <w:ind w:left="0" w:firstLine="0"/>
        <w:rPr>
          <w:rFonts w:cs="Arial"/>
          <w:b/>
          <w:szCs w:val="24"/>
        </w:rPr>
      </w:pPr>
      <w:r w:rsidRPr="00954426">
        <w:rPr>
          <w:rFonts w:cs="Arial"/>
          <w:b/>
          <w:szCs w:val="24"/>
        </w:rPr>
        <w:t>L</w:t>
      </w:r>
      <w:r w:rsidR="00954426" w:rsidRPr="00954426">
        <w:rPr>
          <w:rFonts w:cs="Arial"/>
          <w:b/>
          <w:szCs w:val="24"/>
        </w:rPr>
        <w:t>.</w:t>
      </w:r>
      <w:r w:rsidRPr="00954426">
        <w:rPr>
          <w:rFonts w:cs="Arial"/>
          <w:b/>
          <w:szCs w:val="24"/>
        </w:rPr>
        <w:t>R</w:t>
      </w:r>
      <w:r w:rsidR="00954426" w:rsidRPr="00954426">
        <w:rPr>
          <w:rFonts w:cs="Arial"/>
          <w:b/>
          <w:szCs w:val="24"/>
        </w:rPr>
        <w:t>.</w:t>
      </w:r>
      <w:r w:rsidRPr="00954426">
        <w:rPr>
          <w:rFonts w:cs="Arial"/>
          <w:b/>
          <w:szCs w:val="24"/>
        </w:rPr>
        <w:t xml:space="preserve"> Crim. P. 44(a) (</w:t>
      </w:r>
      <w:r w:rsidR="001A0DEE">
        <w:rPr>
          <w:rFonts w:cs="Arial"/>
          <w:b/>
          <w:szCs w:val="24"/>
        </w:rPr>
        <w:t>a</w:t>
      </w:r>
      <w:r w:rsidRPr="00954426">
        <w:rPr>
          <w:rFonts w:cs="Arial"/>
          <w:b/>
          <w:szCs w:val="24"/>
        </w:rPr>
        <w:t>ttorney admission, appearance, withdrawal)</w:t>
      </w:r>
      <w:r w:rsidRPr="00954426">
        <w:rPr>
          <w:rFonts w:cs="Arial"/>
          <w:szCs w:val="24"/>
        </w:rPr>
        <w:t xml:space="preserve"> </w:t>
      </w:r>
      <w:r w:rsidR="00FB4469" w:rsidRPr="00954426">
        <w:rPr>
          <w:rFonts w:cs="Arial"/>
          <w:szCs w:val="24"/>
        </w:rPr>
        <w:t>-</w:t>
      </w:r>
      <w:r w:rsidR="00954426" w:rsidRPr="00954426">
        <w:rPr>
          <w:rFonts w:cs="Arial"/>
          <w:szCs w:val="24"/>
        </w:rPr>
        <w:t xml:space="preserve"> </w:t>
      </w:r>
      <w:r w:rsidR="005056D4" w:rsidRPr="00954426">
        <w:rPr>
          <w:rFonts w:cs="Arial"/>
          <w:szCs w:val="24"/>
        </w:rPr>
        <w:t xml:space="preserve">The proposed amendment </w:t>
      </w:r>
      <w:r w:rsidRPr="00954426">
        <w:rPr>
          <w:rFonts w:cs="Arial"/>
          <w:szCs w:val="24"/>
        </w:rPr>
        <w:t>strik</w:t>
      </w:r>
      <w:r w:rsidR="005056D4" w:rsidRPr="00954426">
        <w:rPr>
          <w:rFonts w:cs="Arial"/>
          <w:szCs w:val="24"/>
        </w:rPr>
        <w:t xml:space="preserve">es </w:t>
      </w:r>
      <w:r w:rsidRPr="00954426">
        <w:rPr>
          <w:rFonts w:cs="Arial"/>
          <w:szCs w:val="24"/>
        </w:rPr>
        <w:t>the incorporation of L</w:t>
      </w:r>
      <w:r w:rsidR="00611941">
        <w:rPr>
          <w:rFonts w:cs="Arial"/>
          <w:szCs w:val="24"/>
        </w:rPr>
        <w:t>.</w:t>
      </w:r>
      <w:r w:rsidRPr="00954426">
        <w:rPr>
          <w:rFonts w:cs="Arial"/>
          <w:szCs w:val="24"/>
        </w:rPr>
        <w:t>R</w:t>
      </w:r>
      <w:r w:rsidR="00611941">
        <w:rPr>
          <w:rFonts w:cs="Arial"/>
          <w:szCs w:val="24"/>
        </w:rPr>
        <w:t>.</w:t>
      </w:r>
      <w:r w:rsidRPr="00954426">
        <w:rPr>
          <w:rFonts w:cs="Arial"/>
          <w:szCs w:val="24"/>
        </w:rPr>
        <w:t xml:space="preserve"> Civ. P. 83.2, since the procedure for withdrawal/substitution by counsel in civil cases is not applicable to criminal cases.  </w:t>
      </w:r>
    </w:p>
    <w:p w14:paraId="0A0BC63A" w14:textId="77777777" w:rsidR="008B7ED8" w:rsidRDefault="008B7ED8" w:rsidP="000C3796">
      <w:pPr>
        <w:spacing w:after="0" w:line="240" w:lineRule="auto"/>
        <w:jc w:val="both"/>
        <w:rPr>
          <w:rFonts w:cs="Arial"/>
          <w:szCs w:val="24"/>
        </w:rPr>
      </w:pPr>
    </w:p>
    <w:p w14:paraId="00C04C8E" w14:textId="77777777" w:rsidR="008B7ED8" w:rsidRPr="000C3796" w:rsidRDefault="008B7ED8" w:rsidP="000C3796">
      <w:pPr>
        <w:spacing w:after="0" w:line="240" w:lineRule="auto"/>
        <w:jc w:val="both"/>
        <w:rPr>
          <w:rFonts w:cs="Arial"/>
          <w:szCs w:val="24"/>
        </w:rPr>
      </w:pPr>
    </w:p>
    <w:sectPr w:rsidR="008B7ED8" w:rsidRPr="000C3796" w:rsidSect="002A5186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33902" w14:textId="77777777" w:rsidR="00BF3B88" w:rsidRDefault="00BF3B88" w:rsidP="002A5186">
      <w:pPr>
        <w:spacing w:after="0" w:line="240" w:lineRule="auto"/>
      </w:pPr>
      <w:r>
        <w:separator/>
      </w:r>
    </w:p>
  </w:endnote>
  <w:endnote w:type="continuationSeparator" w:id="0">
    <w:p w14:paraId="3B68C752" w14:textId="77777777" w:rsidR="00BF3B88" w:rsidRDefault="00BF3B88" w:rsidP="002A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477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5A0E0" w14:textId="77777777" w:rsidR="002A5186" w:rsidRDefault="002A5186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4639A18B" w14:textId="77777777" w:rsidR="002A5186" w:rsidRDefault="002A5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C570B" w14:textId="77777777" w:rsidR="00BF3B88" w:rsidRDefault="00BF3B88" w:rsidP="002A5186">
      <w:pPr>
        <w:spacing w:after="0" w:line="240" w:lineRule="auto"/>
      </w:pPr>
      <w:r>
        <w:separator/>
      </w:r>
    </w:p>
  </w:footnote>
  <w:footnote w:type="continuationSeparator" w:id="0">
    <w:p w14:paraId="255179A1" w14:textId="77777777" w:rsidR="00BF3B88" w:rsidRDefault="00BF3B88" w:rsidP="002A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AEF"/>
    <w:multiLevelType w:val="hybridMultilevel"/>
    <w:tmpl w:val="5C02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00A3"/>
    <w:multiLevelType w:val="hybridMultilevel"/>
    <w:tmpl w:val="F7C61CDA"/>
    <w:lvl w:ilvl="0" w:tplc="5C1E6E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9E65FD"/>
    <w:multiLevelType w:val="hybridMultilevel"/>
    <w:tmpl w:val="9094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C5F62"/>
    <w:multiLevelType w:val="hybridMultilevel"/>
    <w:tmpl w:val="1BBA1FE2"/>
    <w:lvl w:ilvl="0" w:tplc="58BED06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C11E7"/>
    <w:multiLevelType w:val="hybridMultilevel"/>
    <w:tmpl w:val="D8888E1E"/>
    <w:lvl w:ilvl="0" w:tplc="0E540A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3789D"/>
    <w:multiLevelType w:val="hybridMultilevel"/>
    <w:tmpl w:val="70525D36"/>
    <w:lvl w:ilvl="0" w:tplc="B54222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E12AF"/>
    <w:multiLevelType w:val="hybridMultilevel"/>
    <w:tmpl w:val="8C06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58AE"/>
    <w:multiLevelType w:val="hybridMultilevel"/>
    <w:tmpl w:val="D9DA064A"/>
    <w:lvl w:ilvl="0" w:tplc="9D5A33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96"/>
    <w:rsid w:val="00017916"/>
    <w:rsid w:val="00022B58"/>
    <w:rsid w:val="0007213B"/>
    <w:rsid w:val="00095775"/>
    <w:rsid w:val="000C3796"/>
    <w:rsid w:val="00121377"/>
    <w:rsid w:val="001A0DEE"/>
    <w:rsid w:val="001C3280"/>
    <w:rsid w:val="001D58CF"/>
    <w:rsid w:val="001D6C88"/>
    <w:rsid w:val="00236DFA"/>
    <w:rsid w:val="00240F3B"/>
    <w:rsid w:val="002816BA"/>
    <w:rsid w:val="002A198A"/>
    <w:rsid w:val="002A5186"/>
    <w:rsid w:val="002B09D0"/>
    <w:rsid w:val="002B3F0E"/>
    <w:rsid w:val="002C082B"/>
    <w:rsid w:val="002D6086"/>
    <w:rsid w:val="002E7A57"/>
    <w:rsid w:val="0031517D"/>
    <w:rsid w:val="003946BC"/>
    <w:rsid w:val="003E16BB"/>
    <w:rsid w:val="0042062B"/>
    <w:rsid w:val="004744C9"/>
    <w:rsid w:val="004C2781"/>
    <w:rsid w:val="004E4DBD"/>
    <w:rsid w:val="005056D4"/>
    <w:rsid w:val="0052057D"/>
    <w:rsid w:val="00547249"/>
    <w:rsid w:val="00581200"/>
    <w:rsid w:val="005C70EF"/>
    <w:rsid w:val="00611941"/>
    <w:rsid w:val="00634A8B"/>
    <w:rsid w:val="00693B53"/>
    <w:rsid w:val="006B04E2"/>
    <w:rsid w:val="006C3BC3"/>
    <w:rsid w:val="006C4483"/>
    <w:rsid w:val="00754F37"/>
    <w:rsid w:val="007A4CFC"/>
    <w:rsid w:val="007A6857"/>
    <w:rsid w:val="00887062"/>
    <w:rsid w:val="008B3BD0"/>
    <w:rsid w:val="008B7ED8"/>
    <w:rsid w:val="008E7FD2"/>
    <w:rsid w:val="009328BD"/>
    <w:rsid w:val="00954426"/>
    <w:rsid w:val="00957B31"/>
    <w:rsid w:val="00971689"/>
    <w:rsid w:val="00A2410D"/>
    <w:rsid w:val="00A300D1"/>
    <w:rsid w:val="00A60A9F"/>
    <w:rsid w:val="00AF4590"/>
    <w:rsid w:val="00B534A7"/>
    <w:rsid w:val="00B713F8"/>
    <w:rsid w:val="00B74F53"/>
    <w:rsid w:val="00B83676"/>
    <w:rsid w:val="00B876CB"/>
    <w:rsid w:val="00BA3FE2"/>
    <w:rsid w:val="00BB7229"/>
    <w:rsid w:val="00BF3B88"/>
    <w:rsid w:val="00C67050"/>
    <w:rsid w:val="00CF0FF4"/>
    <w:rsid w:val="00D95B62"/>
    <w:rsid w:val="00DA24C9"/>
    <w:rsid w:val="00DF7593"/>
    <w:rsid w:val="00E111FB"/>
    <w:rsid w:val="00E11CC7"/>
    <w:rsid w:val="00E34F31"/>
    <w:rsid w:val="00E646C9"/>
    <w:rsid w:val="00EA1973"/>
    <w:rsid w:val="00F15126"/>
    <w:rsid w:val="00F6564C"/>
    <w:rsid w:val="00F9267E"/>
    <w:rsid w:val="00FA7BDF"/>
    <w:rsid w:val="00F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CB41"/>
  <w15:chartTrackingRefBased/>
  <w15:docId w15:val="{88660D1F-C119-4F0B-A60F-7316586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6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1">
    <w:name w:val="BP1"/>
    <w:basedOn w:val="Normal"/>
    <w:link w:val="BP1Char"/>
    <w:autoRedefine/>
    <w:uiPriority w:val="99"/>
    <w:qFormat/>
    <w:rsid w:val="009328BD"/>
    <w:pPr>
      <w:widowControl w:val="0"/>
      <w:autoSpaceDE w:val="0"/>
      <w:autoSpaceDN w:val="0"/>
      <w:adjustRightInd w:val="0"/>
      <w:spacing w:after="0" w:line="480" w:lineRule="auto"/>
      <w:jc w:val="both"/>
    </w:pPr>
  </w:style>
  <w:style w:type="character" w:customStyle="1" w:styleId="BP1Char">
    <w:name w:val="BP1 Char"/>
    <w:link w:val="BP1"/>
    <w:uiPriority w:val="99"/>
    <w:rsid w:val="009328BD"/>
  </w:style>
  <w:style w:type="paragraph" w:customStyle="1" w:styleId="BP">
    <w:name w:val="BP"/>
    <w:basedOn w:val="Normal"/>
    <w:link w:val="BPChar"/>
    <w:autoRedefine/>
    <w:uiPriority w:val="99"/>
    <w:qFormat/>
    <w:rsid w:val="009328BD"/>
    <w:pPr>
      <w:widowControl w:val="0"/>
      <w:tabs>
        <w:tab w:val="left" w:pos="7740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eastAsiaTheme="minorEastAsia" w:cs="Microsoft Uighur"/>
    </w:rPr>
  </w:style>
  <w:style w:type="character" w:customStyle="1" w:styleId="BPChar">
    <w:name w:val="BP Char"/>
    <w:basedOn w:val="DefaultParagraphFont"/>
    <w:link w:val="BP"/>
    <w:uiPriority w:val="99"/>
    <w:rsid w:val="009328BD"/>
    <w:rPr>
      <w:rFonts w:eastAsiaTheme="minorEastAsia" w:cs="Microsoft Uighur"/>
    </w:rPr>
  </w:style>
  <w:style w:type="paragraph" w:customStyle="1" w:styleId="BH">
    <w:name w:val="BH"/>
    <w:basedOn w:val="Normal"/>
    <w:autoRedefine/>
    <w:uiPriority w:val="99"/>
    <w:qFormat/>
    <w:rsid w:val="009328BD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cs="Arial"/>
      <w:b/>
      <w:bCs/>
      <w:szCs w:val="24"/>
    </w:rPr>
  </w:style>
  <w:style w:type="paragraph" w:customStyle="1" w:styleId="BH1">
    <w:name w:val="BH1"/>
    <w:basedOn w:val="Normal"/>
    <w:autoRedefine/>
    <w:uiPriority w:val="99"/>
    <w:qFormat/>
    <w:rsid w:val="009328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  <w:i/>
      <w:iCs/>
      <w:szCs w:val="24"/>
    </w:rPr>
  </w:style>
  <w:style w:type="paragraph" w:customStyle="1" w:styleId="BQ">
    <w:name w:val="BQ"/>
    <w:basedOn w:val="Normal"/>
    <w:autoRedefine/>
    <w:uiPriority w:val="99"/>
    <w:qFormat/>
    <w:rsid w:val="009328BD"/>
    <w:pPr>
      <w:widowControl w:val="0"/>
      <w:tabs>
        <w:tab w:val="left" w:pos="900"/>
      </w:tabs>
      <w:autoSpaceDE w:val="0"/>
      <w:autoSpaceDN w:val="0"/>
      <w:adjustRightInd w:val="0"/>
      <w:spacing w:after="0" w:line="240" w:lineRule="auto"/>
      <w:ind w:left="720" w:right="720"/>
      <w:jc w:val="both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95B62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5B62"/>
    <w:rPr>
      <w:rFonts w:ascii="Times New Roman" w:hAnsi="Times New Roman"/>
      <w:szCs w:val="20"/>
    </w:rPr>
  </w:style>
  <w:style w:type="paragraph" w:customStyle="1" w:styleId="FootnoteText1">
    <w:name w:val="Footnote Text1"/>
    <w:basedOn w:val="Normal"/>
    <w:link w:val="footnotetextChar0"/>
    <w:qFormat/>
    <w:rsid w:val="00D95B62"/>
    <w:pPr>
      <w:spacing w:after="0" w:line="480" w:lineRule="auto"/>
    </w:pPr>
    <w:rPr>
      <w:rFonts w:cs="Times New Roman"/>
      <w:sz w:val="22"/>
      <w:szCs w:val="24"/>
    </w:rPr>
  </w:style>
  <w:style w:type="character" w:customStyle="1" w:styleId="footnotetextChar0">
    <w:name w:val="footnote text Char"/>
    <w:basedOn w:val="DefaultParagraphFont"/>
    <w:link w:val="FootnoteText1"/>
    <w:rsid w:val="00D95B62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F4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8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5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066F-D1D1-4A06-ACDF-45C21AD4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Yusick</dc:creator>
  <cp:keywords/>
  <dc:description/>
  <cp:lastModifiedBy>Matthew Yusick</cp:lastModifiedBy>
  <cp:revision>34</cp:revision>
  <cp:lastPrinted>2019-10-31T13:26:00Z</cp:lastPrinted>
  <dcterms:created xsi:type="dcterms:W3CDTF">2019-10-21T13:30:00Z</dcterms:created>
  <dcterms:modified xsi:type="dcterms:W3CDTF">2019-10-31T18:08:00Z</dcterms:modified>
</cp:coreProperties>
</file>